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ascii="黑体" w:hAnsi="黑体" w:eastAsia="黑体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安徽商贸职业技术学院新生转专业计划</w:t>
      </w:r>
    </w:p>
    <w:tbl>
      <w:tblPr>
        <w:tblStyle w:val="2"/>
        <w:tblW w:w="9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526"/>
        <w:gridCol w:w="1125"/>
        <w:gridCol w:w="3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转入计划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分类招生普高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普招文理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分类招生中职（电子与信息类）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分类招生中职（电子与信息类）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分类招生中职（电子与信息类）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分类招生中职（会计与金融类）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分类招生中职（会计与金融类）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分类招生中职（会计与金融类）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分类招生中职（会计与金融类）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分类招生中职（文秘类）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分类招生中职（艺术设计类）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分类招生中职（艺术设计类）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注：上表为各专业转入计划数，学校</w:t>
      </w:r>
      <w:r>
        <w:rPr>
          <w:sz w:val="22"/>
        </w:rPr>
        <w:t>根据新生提交</w:t>
      </w:r>
      <w:r>
        <w:rPr>
          <w:rFonts w:hint="eastAsia"/>
          <w:sz w:val="22"/>
        </w:rPr>
        <w:t>申请实际</w:t>
      </w:r>
      <w:r>
        <w:rPr>
          <w:sz w:val="22"/>
        </w:rPr>
        <w:t>情况</w:t>
      </w:r>
      <w:r>
        <w:rPr>
          <w:rFonts w:hint="eastAsia"/>
          <w:sz w:val="22"/>
        </w:rPr>
        <w:t>，针对生源不平衡，经研究可适当进行专业计划动态调整。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M2Y2M4ZThkOWRhYmM3MTFmY2VmYzk2NTQ5ODkifQ=="/>
  </w:docVars>
  <w:rsids>
    <w:rsidRoot w:val="493C2780"/>
    <w:rsid w:val="493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2023-09-10T00:17:00Z</dcterms:created>
  <dc:creator>詹海朋</dc:creator>
  <cp:lastModifiedBy>詹海朋</cp:lastModifiedBy>
  <dcterms:modified xsi:type="dcterms:W3CDTF">2023-09-10T00:17:38Z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9318F3555EAD498997CBC43A0D1357E5_11</vt:lpwstr>
  </property>
</Properties>
</file>