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A620D">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Style w:val="12"/>
          <w:rFonts w:hint="eastAsia" w:ascii="宋体" w:hAnsi="宋体" w:eastAsia="宋体" w:cs="宋体"/>
          <w:color w:val="auto"/>
          <w:kern w:val="0"/>
          <w:sz w:val="32"/>
          <w:szCs w:val="32"/>
          <w:lang w:val="en-US" w:eastAsia="zh-CN" w:bidi="ar"/>
        </w:rPr>
      </w:pPr>
      <w:bookmarkStart w:id="0" w:name="_GoBack"/>
      <w:bookmarkEnd w:id="0"/>
      <w:r>
        <w:rPr>
          <w:rStyle w:val="12"/>
          <w:rFonts w:hint="eastAsia" w:ascii="宋体" w:hAnsi="宋体" w:eastAsia="宋体" w:cs="宋体"/>
          <w:color w:val="auto"/>
          <w:kern w:val="0"/>
          <w:sz w:val="32"/>
          <w:szCs w:val="32"/>
          <w:lang w:val="en-US" w:eastAsia="zh-CN" w:bidi="ar"/>
        </w:rPr>
        <w:t>安徽商贸职业技术学院教科研一体化平台</w:t>
      </w:r>
    </w:p>
    <w:p w14:paraId="096038FB">
      <w:pPr>
        <w:pStyle w:val="9"/>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Style w:val="12"/>
          <w:rFonts w:hint="default" w:ascii="宋体" w:hAnsi="宋体" w:eastAsia="宋体" w:cs="宋体"/>
          <w:color w:val="auto"/>
          <w:kern w:val="0"/>
          <w:sz w:val="32"/>
          <w:szCs w:val="32"/>
          <w:lang w:val="en-US" w:eastAsia="zh-CN" w:bidi="ar"/>
        </w:rPr>
      </w:pPr>
      <w:r>
        <w:rPr>
          <w:rStyle w:val="12"/>
          <w:rFonts w:hint="eastAsia" w:ascii="宋体" w:hAnsi="宋体" w:eastAsia="宋体" w:cs="宋体"/>
          <w:color w:val="auto"/>
          <w:kern w:val="0"/>
          <w:sz w:val="32"/>
          <w:szCs w:val="32"/>
          <w:lang w:val="en-US" w:eastAsia="zh-CN" w:bidi="ar"/>
        </w:rPr>
        <w:t>采购项目（第一包）</w:t>
      </w:r>
      <w:r>
        <w:rPr>
          <w:rStyle w:val="12"/>
          <w:rFonts w:hint="eastAsia" w:cs="宋体"/>
          <w:color w:val="auto"/>
          <w:kern w:val="0"/>
          <w:sz w:val="32"/>
          <w:szCs w:val="32"/>
          <w:lang w:val="en-US" w:eastAsia="zh-CN" w:bidi="ar"/>
        </w:rPr>
        <w:t>需求方案</w:t>
      </w:r>
    </w:p>
    <w:p w14:paraId="5BE74BA1">
      <w:pPr>
        <w:numPr>
          <w:ilvl w:val="0"/>
          <w:numId w:val="1"/>
        </w:numPr>
        <w:bidi w:val="0"/>
        <w:ind w:left="0" w:leftChars="0" w:firstLine="0" w:firstLineChars="0"/>
        <w:outlineLvl w:val="0"/>
        <w:rPr>
          <w:rFonts w:hint="eastAsia" w:cs="宋体"/>
          <w:b/>
          <w:bCs/>
          <w:sz w:val="24"/>
          <w:szCs w:val="24"/>
          <w:lang w:val="en-US" w:eastAsia="zh-CN"/>
        </w:rPr>
      </w:pPr>
      <w:r>
        <w:rPr>
          <w:rFonts w:hint="eastAsia" w:cs="宋体"/>
          <w:b/>
          <w:bCs/>
          <w:sz w:val="24"/>
          <w:szCs w:val="24"/>
          <w:lang w:val="en-US" w:eastAsia="zh-CN"/>
        </w:rPr>
        <w:t>项目名称</w:t>
      </w:r>
    </w:p>
    <w:p w14:paraId="5D005869">
      <w:pPr>
        <w:widowControl w:val="0"/>
        <w:numPr>
          <w:ilvl w:val="0"/>
          <w:numId w:val="0"/>
        </w:numPr>
        <w:bidi w:val="0"/>
        <w:spacing w:line="360" w:lineRule="auto"/>
        <w:ind w:firstLine="420" w:firstLineChars="0"/>
        <w:jc w:val="both"/>
        <w:outlineLvl w:val="0"/>
        <w:rPr>
          <w:rFonts w:hint="default" w:cs="宋体"/>
          <w:b/>
          <w:bCs/>
          <w:sz w:val="24"/>
          <w:szCs w:val="24"/>
          <w:lang w:val="en-US" w:eastAsia="zh-CN"/>
        </w:rPr>
      </w:pPr>
      <w:r>
        <w:rPr>
          <w:rFonts w:hint="eastAsia" w:ascii="宋体" w:hAnsi="宋体" w:eastAsia="宋体" w:cs="宋体"/>
          <w:color w:val="auto"/>
          <w:sz w:val="24"/>
          <w:szCs w:val="24"/>
          <w:lang w:val="en-US" w:eastAsia="zh-CN"/>
        </w:rPr>
        <w:t>安徽商贸职业技术学院教科研一体化平台采购项目（第一包）</w:t>
      </w:r>
    </w:p>
    <w:p w14:paraId="209E216B">
      <w:pPr>
        <w:numPr>
          <w:ilvl w:val="0"/>
          <w:numId w:val="1"/>
        </w:numPr>
        <w:bidi w:val="0"/>
        <w:ind w:left="0" w:leftChars="0" w:firstLine="0" w:firstLineChars="0"/>
        <w:outlineLvl w:val="0"/>
        <w:rPr>
          <w:rFonts w:hint="default" w:cs="宋体"/>
          <w:b/>
          <w:bCs/>
          <w:sz w:val="24"/>
          <w:szCs w:val="24"/>
          <w:lang w:val="en-US" w:eastAsia="zh-CN"/>
        </w:rPr>
      </w:pPr>
      <w:r>
        <w:rPr>
          <w:rFonts w:hint="eastAsia" w:cs="宋体"/>
          <w:b/>
          <w:bCs/>
          <w:sz w:val="24"/>
          <w:szCs w:val="24"/>
          <w:lang w:val="en-US" w:eastAsia="zh-CN"/>
        </w:rPr>
        <w:t>项目背景</w:t>
      </w:r>
    </w:p>
    <w:p w14:paraId="346CD5C6">
      <w:pPr>
        <w:widowControl w:val="0"/>
        <w:numPr>
          <w:ilvl w:val="0"/>
          <w:numId w:val="0"/>
        </w:numPr>
        <w:bidi w:val="0"/>
        <w:spacing w:line="360" w:lineRule="auto"/>
        <w:ind w:firstLine="420" w:firstLineChars="0"/>
        <w:jc w:val="both"/>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商贸职业技术学院于2018年购买了数据库审计、负载均衡、态势感知平台、安全感知系统、潜伏威胁探针、WAF、基线核查等安全设备。随着当前高校业络系统日益复杂，外部攻击、内部资源滥用、木马和病毒等不安全因素越来越显著，当前设备已无法满足信息化建设需求，根据《网络安全法》、《数据安全法》、《关键信息基础设施安全保护条例》等法律法规和网络安全类产品规定，拟采购一批设备用于保护校本数据安全和网络安全。</w:t>
      </w:r>
    </w:p>
    <w:p w14:paraId="6249656A">
      <w:pPr>
        <w:bidi w:val="0"/>
        <w:ind w:left="0" w:leftChars="0" w:firstLine="0" w:firstLineChars="0"/>
        <w:outlineLvl w:val="0"/>
        <w:rPr>
          <w:rFonts w:hint="eastAsia" w:ascii="宋体" w:hAnsi="宋体" w:eastAsia="宋体" w:cs="宋体"/>
          <w:b/>
          <w:bCs/>
          <w:sz w:val="24"/>
          <w:szCs w:val="24"/>
          <w:lang w:val="en-US" w:eastAsia="zh-CN"/>
        </w:rPr>
      </w:pPr>
      <w:r>
        <w:rPr>
          <w:rFonts w:hint="eastAsia" w:cs="宋体"/>
          <w:b/>
          <w:bCs/>
          <w:sz w:val="24"/>
          <w:szCs w:val="24"/>
          <w:lang w:val="en-US" w:eastAsia="zh-CN"/>
        </w:rPr>
        <w:t>三</w:t>
      </w:r>
      <w:r>
        <w:rPr>
          <w:rFonts w:hint="eastAsia" w:ascii="宋体" w:hAnsi="宋体" w:eastAsia="宋体" w:cs="宋体"/>
          <w:b/>
          <w:bCs/>
          <w:sz w:val="24"/>
          <w:szCs w:val="24"/>
          <w:lang w:val="en-US" w:eastAsia="zh-CN"/>
        </w:rPr>
        <w:t>、技术需求</w:t>
      </w:r>
    </w:p>
    <w:tbl>
      <w:tblPr>
        <w:tblStyle w:val="10"/>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79"/>
        <w:gridCol w:w="5528"/>
        <w:gridCol w:w="1025"/>
        <w:gridCol w:w="764"/>
        <w:gridCol w:w="669"/>
      </w:tblGrid>
      <w:tr w14:paraId="63FD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3D5880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409" w:type="pct"/>
            <w:noWrap w:val="0"/>
            <w:vAlign w:val="center"/>
          </w:tcPr>
          <w:p w14:paraId="2C0425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货物名称</w:t>
            </w:r>
          </w:p>
        </w:tc>
        <w:tc>
          <w:tcPr>
            <w:tcW w:w="2902" w:type="pct"/>
            <w:noWrap w:val="0"/>
            <w:vAlign w:val="center"/>
          </w:tcPr>
          <w:p w14:paraId="4CC2B9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技术参数及要求</w:t>
            </w:r>
          </w:p>
        </w:tc>
        <w:tc>
          <w:tcPr>
            <w:tcW w:w="538" w:type="pct"/>
            <w:noWrap w:val="0"/>
            <w:vAlign w:val="center"/>
          </w:tcPr>
          <w:p w14:paraId="6180D3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数量（单位）</w:t>
            </w:r>
          </w:p>
        </w:tc>
        <w:tc>
          <w:tcPr>
            <w:tcW w:w="401" w:type="pct"/>
            <w:noWrap w:val="0"/>
            <w:vAlign w:val="center"/>
          </w:tcPr>
          <w:p w14:paraId="3883CC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所属行业</w:t>
            </w:r>
          </w:p>
        </w:tc>
        <w:tc>
          <w:tcPr>
            <w:tcW w:w="351" w:type="pct"/>
            <w:noWrap w:val="0"/>
            <w:vAlign w:val="center"/>
          </w:tcPr>
          <w:p w14:paraId="3D741A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14D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97" w:type="pct"/>
            <w:noWrap w:val="0"/>
            <w:vAlign w:val="center"/>
          </w:tcPr>
          <w:p w14:paraId="7C928C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1</w:t>
            </w:r>
          </w:p>
        </w:tc>
        <w:tc>
          <w:tcPr>
            <w:tcW w:w="409" w:type="pct"/>
            <w:noWrap w:val="0"/>
            <w:vAlign w:val="center"/>
          </w:tcPr>
          <w:p w14:paraId="465E8C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教科研数据安全设备1--网络安全防护与态势管理设备</w:t>
            </w:r>
          </w:p>
        </w:tc>
        <w:tc>
          <w:tcPr>
            <w:tcW w:w="2902" w:type="pct"/>
            <w:noWrap w:val="0"/>
            <w:vAlign w:val="top"/>
          </w:tcPr>
          <w:p w14:paraId="626C211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功能一（数据库审计）：</w:t>
            </w:r>
          </w:p>
          <w:p w14:paraId="538ADD1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sz w:val="21"/>
                <w:szCs w:val="21"/>
                <w:highlight w:val="none"/>
                <w:lang w:eastAsia="zh-CN"/>
              </w:rPr>
            </w:pPr>
            <w:r>
              <w:rPr>
                <w:rFonts w:hint="eastAsia" w:ascii="宋体" w:hAnsi="宋体" w:eastAsia="宋体" w:cs="宋体"/>
                <w:sz w:val="21"/>
                <w:szCs w:val="21"/>
                <w:highlight w:val="none"/>
              </w:rPr>
              <w:t>★1、标准2U机架设备，内存≥32G，机械硬盘≥</w:t>
            </w:r>
            <w:r>
              <w:rPr>
                <w:rFonts w:hint="eastAsia" w:cs="宋体"/>
                <w:sz w:val="21"/>
                <w:szCs w:val="21"/>
                <w:highlight w:val="none"/>
                <w:lang w:val="en-US" w:eastAsia="zh-CN"/>
              </w:rPr>
              <w:t>32</w:t>
            </w:r>
            <w:r>
              <w:rPr>
                <w:rFonts w:hint="eastAsia" w:ascii="宋体" w:hAnsi="宋体" w:eastAsia="宋体" w:cs="宋体"/>
                <w:sz w:val="21"/>
                <w:szCs w:val="21"/>
                <w:highlight w:val="none"/>
              </w:rPr>
              <w:t>T，千兆电口≥6个，千兆光口≥4个，</w:t>
            </w:r>
            <w:r>
              <w:rPr>
                <w:rFonts w:hint="eastAsia" w:cs="宋体"/>
                <w:sz w:val="21"/>
                <w:szCs w:val="21"/>
                <w:highlight w:val="none"/>
                <w:lang w:val="en-US" w:eastAsia="zh-CN"/>
              </w:rPr>
              <w:t>万兆光口</w:t>
            </w:r>
            <w:r>
              <w:rPr>
                <w:rFonts w:hint="eastAsia" w:ascii="宋体" w:hAnsi="宋体" w:eastAsia="宋体" w:cs="宋体"/>
                <w:sz w:val="21"/>
                <w:szCs w:val="21"/>
                <w:highlight w:val="none"/>
              </w:rPr>
              <w:t>≥</w:t>
            </w:r>
            <w:r>
              <w:rPr>
                <w:rFonts w:hint="eastAsia" w:cs="宋体"/>
                <w:sz w:val="21"/>
                <w:szCs w:val="21"/>
                <w:highlight w:val="none"/>
                <w:lang w:val="en-US" w:eastAsia="zh-CN"/>
              </w:rPr>
              <w:t>2个</w:t>
            </w:r>
            <w:r>
              <w:rPr>
                <w:rFonts w:hint="eastAsia" w:cs="宋体"/>
                <w:sz w:val="21"/>
                <w:szCs w:val="21"/>
                <w:highlight w:val="none"/>
                <w:lang w:eastAsia="zh-CN"/>
              </w:rPr>
              <w:t>，</w:t>
            </w:r>
            <w:r>
              <w:rPr>
                <w:rFonts w:hint="eastAsia" w:ascii="宋体" w:hAnsi="宋体" w:eastAsia="宋体" w:cs="宋体"/>
                <w:sz w:val="21"/>
                <w:szCs w:val="21"/>
                <w:highlight w:val="none"/>
              </w:rPr>
              <w:t>扩展槽位≥2个，冗余电源，配置液晶屏</w:t>
            </w:r>
            <w:r>
              <w:rPr>
                <w:rFonts w:hint="eastAsia" w:cs="宋体"/>
                <w:sz w:val="21"/>
                <w:szCs w:val="21"/>
                <w:highlight w:val="none"/>
                <w:lang w:eastAsia="zh-CN"/>
              </w:rPr>
              <w:t>；</w:t>
            </w:r>
          </w:p>
          <w:p w14:paraId="3A8A1E4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2、整机</w:t>
            </w:r>
            <w:r>
              <w:rPr>
                <w:rFonts w:hint="eastAsia" w:ascii="宋体" w:hAnsi="宋体" w:eastAsia="宋体" w:cs="宋体"/>
                <w:sz w:val="21"/>
                <w:szCs w:val="21"/>
                <w:highlight w:val="none"/>
              </w:rPr>
              <w:t>吞吐</w:t>
            </w:r>
            <w:r>
              <w:rPr>
                <w:rFonts w:hint="eastAsia" w:cs="宋体"/>
                <w:sz w:val="21"/>
                <w:szCs w:val="21"/>
                <w:highlight w:val="none"/>
                <w:lang w:val="en-US" w:eastAsia="zh-CN"/>
              </w:rPr>
              <w:t>量</w:t>
            </w:r>
            <w:r>
              <w:rPr>
                <w:rFonts w:hint="eastAsia" w:ascii="宋体" w:hAnsi="宋体" w:eastAsia="宋体" w:cs="宋体"/>
                <w:sz w:val="21"/>
                <w:szCs w:val="21"/>
                <w:highlight w:val="none"/>
              </w:rPr>
              <w:t>≥</w:t>
            </w:r>
            <w:r>
              <w:rPr>
                <w:rFonts w:hint="eastAsia" w:cs="宋体"/>
                <w:sz w:val="21"/>
                <w:szCs w:val="21"/>
                <w:highlight w:val="none"/>
                <w:lang w:val="en-US" w:eastAsia="zh-CN"/>
              </w:rPr>
              <w:t>8</w:t>
            </w:r>
            <w:r>
              <w:rPr>
                <w:rFonts w:hint="eastAsia" w:ascii="宋体" w:hAnsi="宋体" w:eastAsia="宋体" w:cs="宋体"/>
                <w:sz w:val="21"/>
                <w:szCs w:val="21"/>
                <w:highlight w:val="none"/>
              </w:rPr>
              <w:t>Gbps</w:t>
            </w:r>
            <w:r>
              <w:rPr>
                <w:rFonts w:hint="eastAsia" w:cs="宋体"/>
                <w:sz w:val="21"/>
                <w:szCs w:val="21"/>
                <w:highlight w:val="none"/>
                <w:lang w:eastAsia="zh-CN"/>
              </w:rPr>
              <w:t>，</w:t>
            </w:r>
            <w:r>
              <w:rPr>
                <w:rFonts w:hint="eastAsia" w:ascii="宋体" w:hAnsi="宋体" w:eastAsia="宋体" w:cs="宋体"/>
                <w:color w:val="auto"/>
                <w:sz w:val="21"/>
                <w:szCs w:val="21"/>
                <w:highlight w:val="none"/>
              </w:rPr>
              <w:t>可审计流量≥800Mbps</w:t>
            </w:r>
            <w:r>
              <w:rPr>
                <w:rFonts w:hint="eastAsia" w:ascii="宋体" w:hAnsi="宋体" w:eastAsia="宋体" w:cs="宋体"/>
                <w:sz w:val="21"/>
                <w:szCs w:val="21"/>
                <w:highlight w:val="none"/>
              </w:rPr>
              <w:t>，峰值SQL处理能力≥</w:t>
            </w:r>
            <w:r>
              <w:rPr>
                <w:rFonts w:hint="eastAsia" w:cs="宋体"/>
                <w:sz w:val="21"/>
                <w:szCs w:val="21"/>
                <w:highlight w:val="none"/>
                <w:lang w:val="en-US" w:eastAsia="zh-CN"/>
              </w:rPr>
              <w:t>5</w:t>
            </w:r>
            <w:r>
              <w:rPr>
                <w:rFonts w:hint="eastAsia" w:ascii="宋体" w:hAnsi="宋体" w:eastAsia="宋体" w:cs="宋体"/>
                <w:sz w:val="21"/>
                <w:szCs w:val="21"/>
                <w:highlight w:val="none"/>
              </w:rPr>
              <w:t>0000条/s，日处理能力≥</w:t>
            </w:r>
            <w:r>
              <w:rPr>
                <w:rFonts w:hint="eastAsia" w:cs="宋体"/>
                <w:sz w:val="21"/>
                <w:szCs w:val="21"/>
                <w:highlight w:val="none"/>
                <w:lang w:val="en-US" w:eastAsia="zh-CN"/>
              </w:rPr>
              <w:t>4000</w:t>
            </w:r>
            <w:r>
              <w:rPr>
                <w:rFonts w:hint="eastAsia" w:ascii="宋体" w:hAnsi="宋体" w:eastAsia="宋体" w:cs="宋体"/>
                <w:sz w:val="21"/>
                <w:szCs w:val="21"/>
                <w:highlight w:val="none"/>
              </w:rPr>
              <w:t>万条</w:t>
            </w:r>
            <w:r>
              <w:rPr>
                <w:rFonts w:hint="eastAsia" w:cs="宋体"/>
                <w:sz w:val="21"/>
                <w:szCs w:val="21"/>
                <w:highlight w:val="none"/>
                <w:lang w:eastAsia="zh-CN"/>
              </w:rPr>
              <w:t>；</w:t>
            </w:r>
          </w:p>
          <w:p w14:paraId="7BEC048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3</w:t>
            </w:r>
            <w:r>
              <w:rPr>
                <w:rFonts w:hint="eastAsia" w:ascii="宋体" w:hAnsi="宋体" w:eastAsia="宋体" w:cs="宋体"/>
                <w:sz w:val="21"/>
                <w:szCs w:val="21"/>
                <w:highlight w:val="none"/>
              </w:rPr>
              <w:t>、支持Oracle、SQLServer、MySQL、DB2、Sybase、Informix、PostgreSQL、Teradata等数据库系统；支持Cache、Hive、Hana、clickhouse、Tibero、Solr、MongoDB、HBase、ElasticSearch、Redis等国际主流数据库系统；支持KingBase、DaMeng、Oscar、GBase、浪潮_KDB、Highgo、GaussDB等国内主流数据库系统</w:t>
            </w:r>
            <w:r>
              <w:rPr>
                <w:rFonts w:hint="eastAsia" w:cs="宋体"/>
                <w:sz w:val="21"/>
                <w:szCs w:val="21"/>
                <w:highlight w:val="none"/>
                <w:lang w:eastAsia="zh-CN"/>
              </w:rPr>
              <w:t>；</w:t>
            </w:r>
          </w:p>
          <w:p w14:paraId="0452D2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cs="宋体"/>
                <w:sz w:val="21"/>
                <w:szCs w:val="21"/>
                <w:highlight w:val="none"/>
                <w:lang w:val="en-US" w:eastAsia="zh-CN"/>
              </w:rPr>
              <w:t>4</w:t>
            </w:r>
            <w:r>
              <w:rPr>
                <w:rFonts w:hint="eastAsia" w:ascii="宋体" w:hAnsi="宋体" w:eastAsia="宋体" w:cs="宋体"/>
                <w:sz w:val="21"/>
                <w:szCs w:val="21"/>
                <w:highlight w:val="none"/>
              </w:rPr>
              <w:t>、支持HTTP、Telnet、FTP、Rlogin的解析；支持工控协议Modbus的解析，规则条数不少于10000条，支持对僵尸网络、木马控制、蠕虫、挖矿、勒索等僵尸主机行为检测告警</w:t>
            </w:r>
            <w:r>
              <w:rPr>
                <w:rFonts w:hint="eastAsia" w:ascii="宋体" w:hAnsi="宋体" w:eastAsia="宋体" w:cs="宋体"/>
                <w:sz w:val="21"/>
                <w:szCs w:val="21"/>
                <w:highlight w:val="none"/>
                <w:lang w:eastAsia="zh-CN"/>
              </w:rPr>
              <w:t>；</w:t>
            </w:r>
            <w:r>
              <w:rPr>
                <w:rFonts w:hint="eastAsia" w:cs="宋体"/>
                <w:b/>
                <w:bCs/>
                <w:sz w:val="21"/>
                <w:szCs w:val="21"/>
                <w:highlight w:val="none"/>
                <w:lang w:eastAsia="zh-CN"/>
              </w:rPr>
              <w:t>（</w:t>
            </w:r>
            <w:r>
              <w:rPr>
                <w:rFonts w:hint="eastAsia" w:cs="宋体"/>
                <w:b/>
                <w:bCs/>
                <w:sz w:val="21"/>
                <w:szCs w:val="21"/>
                <w:highlight w:val="none"/>
                <w:lang w:val="en-US" w:eastAsia="zh-CN"/>
              </w:rPr>
              <w:t>投标文件中须提供产品功能截图证明</w:t>
            </w:r>
            <w:r>
              <w:rPr>
                <w:rFonts w:hint="eastAsia" w:cs="宋体"/>
                <w:b/>
                <w:bCs/>
                <w:sz w:val="21"/>
                <w:szCs w:val="21"/>
                <w:highlight w:val="none"/>
                <w:lang w:eastAsia="zh-CN"/>
              </w:rPr>
              <w:t>）</w:t>
            </w:r>
          </w:p>
          <w:p w14:paraId="06149B0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sz w:val="21"/>
                <w:szCs w:val="21"/>
                <w:highlight w:val="none"/>
                <w:lang w:eastAsia="zh-CN"/>
              </w:rPr>
            </w:pPr>
            <w:r>
              <w:rPr>
                <w:rFonts w:hint="eastAsia" w:cs="宋体"/>
                <w:sz w:val="21"/>
                <w:szCs w:val="21"/>
                <w:highlight w:val="none"/>
                <w:lang w:val="en-US" w:eastAsia="zh-CN"/>
              </w:rPr>
              <w:t>5</w:t>
            </w:r>
            <w:r>
              <w:rPr>
                <w:rFonts w:hint="eastAsia" w:ascii="宋体" w:hAnsi="宋体" w:eastAsia="宋体" w:cs="宋体"/>
                <w:sz w:val="21"/>
                <w:szCs w:val="21"/>
                <w:highlight w:val="none"/>
              </w:rPr>
              <w:t>、内置默认控制规则，包括用户登录、低中高风险操作、数据库DML、DCL、DDL等操作语句等规则定义，方便用户引用和制定控制规则；支持内置规则一键复制，可基于复制后的标准规则模板进行优化配置，满足用户精细化场景下审计需求</w:t>
            </w:r>
            <w:r>
              <w:rPr>
                <w:rFonts w:hint="eastAsia" w:cs="宋体"/>
                <w:sz w:val="21"/>
                <w:szCs w:val="21"/>
                <w:highlight w:val="none"/>
                <w:lang w:eastAsia="zh-CN"/>
              </w:rPr>
              <w:t>；</w:t>
            </w:r>
          </w:p>
          <w:p w14:paraId="5B276FA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highlight w:val="none"/>
              </w:rPr>
              <w:t>●</w:t>
            </w:r>
            <w:r>
              <w:rPr>
                <w:rFonts w:hint="eastAsia" w:cs="宋体"/>
                <w:sz w:val="21"/>
                <w:szCs w:val="21"/>
                <w:highlight w:val="none"/>
                <w:lang w:eastAsia="zh-CN"/>
              </w:rPr>
              <w:t>6、数据库审计系统能够正确的展示近5分钟的审计数据，能够正确的弹出会话回放对话框，能够正确回放选中事件的整条会话信息，能够正确的展示实例的轨迹显示，并可以显示不同节点的信息；</w:t>
            </w:r>
            <w:r>
              <w:rPr>
                <w:rFonts w:hint="eastAsia" w:ascii="宋体" w:hAnsi="宋体" w:eastAsia="宋体" w:cs="宋体"/>
                <w:b/>
                <w:bCs/>
                <w:sz w:val="21"/>
                <w:szCs w:val="21"/>
                <w:highlight w:val="none"/>
              </w:rPr>
              <w:t>（投标文件中</w:t>
            </w: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rPr>
              <w:t>提供第三方检测机构出具的带有CMA或CNAS标志的检测报告扫描件，至少包含报告首页，对应功能测试页和报告尾页）</w:t>
            </w:r>
          </w:p>
          <w:p w14:paraId="2E681BE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7</w:t>
            </w:r>
            <w:r>
              <w:rPr>
                <w:rFonts w:hint="eastAsia" w:ascii="宋体" w:hAnsi="宋体" w:eastAsia="宋体" w:cs="宋体"/>
                <w:sz w:val="21"/>
                <w:szCs w:val="21"/>
                <w:highlight w:val="none"/>
              </w:rPr>
              <w:t>、支持查看会话回放，支持倍速回放，至少包括2倍速、3倍速、4倍速等，完整还原数据库操作情况</w:t>
            </w:r>
            <w:r>
              <w:rPr>
                <w:rFonts w:hint="eastAsia" w:cs="宋体"/>
                <w:sz w:val="21"/>
                <w:szCs w:val="21"/>
                <w:highlight w:val="none"/>
                <w:lang w:eastAsia="zh-CN"/>
              </w:rPr>
              <w:t>；</w:t>
            </w:r>
          </w:p>
          <w:p w14:paraId="6F4FEB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8</w:t>
            </w:r>
            <w:r>
              <w:rPr>
                <w:rFonts w:hint="eastAsia" w:ascii="宋体" w:hAnsi="宋体" w:eastAsia="宋体" w:cs="宋体"/>
                <w:sz w:val="21"/>
                <w:szCs w:val="21"/>
                <w:highlight w:val="none"/>
              </w:rPr>
              <w:t>、产品支持SQL错误页面正常展示SQL错误及解决方法；支持以饼状图展示正常 SQL与慢 SQL占比情况、TOP10慢 SQL的详细分析：TOP 排名信息、事件 ID、数据库名、目的 IP、协议类型、源 IP、SQL 响应时间、操作类型、具体SQL语句等要素</w:t>
            </w:r>
            <w:r>
              <w:rPr>
                <w:rFonts w:hint="eastAsia" w:cs="宋体"/>
                <w:sz w:val="21"/>
                <w:szCs w:val="21"/>
                <w:highlight w:val="none"/>
                <w:lang w:eastAsia="zh-CN"/>
              </w:rPr>
              <w:t>；</w:t>
            </w:r>
          </w:p>
          <w:p w14:paraId="5ACC332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highlight w:val="none"/>
                <w:lang w:eastAsia="zh-CN"/>
              </w:rPr>
            </w:pPr>
            <w:r>
              <w:rPr>
                <w:rFonts w:hint="eastAsia" w:cs="宋体"/>
                <w:sz w:val="21"/>
                <w:szCs w:val="21"/>
                <w:highlight w:val="none"/>
                <w:lang w:val="en-US" w:eastAsia="zh-CN"/>
              </w:rPr>
              <w:t>9</w:t>
            </w:r>
            <w:r>
              <w:rPr>
                <w:rFonts w:hint="eastAsia" w:ascii="宋体" w:hAnsi="宋体" w:eastAsia="宋体" w:cs="宋体"/>
                <w:sz w:val="21"/>
                <w:szCs w:val="21"/>
                <w:highlight w:val="none"/>
              </w:rPr>
              <w:t>、支持系统阈值设置，支持CPU报警设置、硬盘报警、内存报警功能，支持抓包工具</w:t>
            </w:r>
            <w:r>
              <w:rPr>
                <w:rFonts w:hint="eastAsia" w:cs="宋体"/>
                <w:sz w:val="21"/>
                <w:szCs w:val="21"/>
                <w:highlight w:val="none"/>
                <w:lang w:eastAsia="zh-CN"/>
              </w:rPr>
              <w:t>；</w:t>
            </w:r>
          </w:p>
          <w:p w14:paraId="2D718B3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sz w:val="21"/>
                <w:szCs w:val="21"/>
                <w:highlight w:val="none"/>
                <w:lang w:eastAsia="zh-CN"/>
              </w:rPr>
            </w:pPr>
            <w:r>
              <w:rPr>
                <w:rFonts w:hint="eastAsia" w:cs="宋体"/>
                <w:sz w:val="21"/>
                <w:szCs w:val="21"/>
                <w:highlight w:val="none"/>
                <w:lang w:val="en-US" w:eastAsia="zh-CN"/>
              </w:rPr>
              <w:t>10</w:t>
            </w:r>
            <w:r>
              <w:rPr>
                <w:rFonts w:hint="eastAsia" w:ascii="宋体" w:hAnsi="宋体" w:eastAsia="宋体" w:cs="宋体"/>
                <w:sz w:val="21"/>
                <w:szCs w:val="21"/>
                <w:highlight w:val="none"/>
              </w:rPr>
              <w:t>、支持记录数据库操作的源/目的 IP、源/目的端口、源/目的 MAC、源操作系统账号、表名、SOL 语句、客户端程序、客户端用户名、源计算机名、预处理 SQL、响应时间、影响行数、错误码等</w:t>
            </w:r>
            <w:r>
              <w:rPr>
                <w:rFonts w:hint="eastAsia" w:cs="宋体"/>
                <w:sz w:val="21"/>
                <w:szCs w:val="21"/>
                <w:highlight w:val="none"/>
                <w:lang w:eastAsia="zh-CN"/>
              </w:rPr>
              <w:t>；</w:t>
            </w:r>
          </w:p>
          <w:p w14:paraId="077A87E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功能二（负载均衡）：</w:t>
            </w:r>
          </w:p>
          <w:p w14:paraId="1E9B755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★1、标准2U机架设备，内存≥</w:t>
            </w:r>
            <w:r>
              <w:rPr>
                <w:rFonts w:hint="eastAsia" w:cs="宋体"/>
                <w:b w:val="0"/>
                <w:bCs w:val="0"/>
                <w:sz w:val="21"/>
                <w:szCs w:val="21"/>
                <w:highlight w:val="none"/>
                <w:lang w:val="en-US" w:eastAsia="zh-CN"/>
              </w:rPr>
              <w:t>64</w:t>
            </w:r>
            <w:r>
              <w:rPr>
                <w:rFonts w:hint="eastAsia" w:ascii="宋体" w:hAnsi="宋体" w:eastAsia="宋体" w:cs="宋体"/>
                <w:b w:val="0"/>
                <w:bCs w:val="0"/>
                <w:sz w:val="21"/>
                <w:szCs w:val="21"/>
                <w:highlight w:val="none"/>
                <w:lang w:val="en-US" w:eastAsia="zh-CN"/>
              </w:rPr>
              <w:t>G，CF卡≥2G ，机械硬盘≥1T，千兆电口≥</w:t>
            </w:r>
            <w:r>
              <w:rPr>
                <w:rFonts w:hint="eastAsia"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个，</w:t>
            </w:r>
            <w:r>
              <w:rPr>
                <w:rFonts w:hint="eastAsia" w:cs="宋体"/>
                <w:b w:val="0"/>
                <w:bCs w:val="0"/>
                <w:sz w:val="21"/>
                <w:szCs w:val="21"/>
                <w:highlight w:val="none"/>
                <w:lang w:val="en-US" w:eastAsia="zh-CN"/>
              </w:rPr>
              <w:t>万</w:t>
            </w:r>
            <w:r>
              <w:rPr>
                <w:rFonts w:hint="eastAsia" w:ascii="宋体" w:hAnsi="宋体" w:eastAsia="宋体" w:cs="宋体"/>
                <w:b w:val="0"/>
                <w:bCs w:val="0"/>
                <w:sz w:val="21"/>
                <w:szCs w:val="21"/>
                <w:highlight w:val="none"/>
                <w:lang w:val="en-US" w:eastAsia="zh-CN"/>
              </w:rPr>
              <w:t>兆光口≥4个，双电源，扩展槽位≥</w:t>
            </w: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个，配置液晶屏</w:t>
            </w:r>
            <w:r>
              <w:rPr>
                <w:rFonts w:hint="eastAsia" w:cs="宋体"/>
                <w:b w:val="0"/>
                <w:bCs w:val="0"/>
                <w:sz w:val="21"/>
                <w:szCs w:val="21"/>
                <w:highlight w:val="none"/>
                <w:lang w:val="en-US" w:eastAsia="zh-CN"/>
              </w:rPr>
              <w:t>；</w:t>
            </w:r>
          </w:p>
          <w:p w14:paraId="0ABA68D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负载均衡吞吐</w:t>
            </w:r>
            <w:r>
              <w:rPr>
                <w:rFonts w:hint="eastAsia" w:cs="宋体"/>
                <w:b w:val="0"/>
                <w:bCs w:val="0"/>
                <w:sz w:val="21"/>
                <w:szCs w:val="21"/>
                <w:highlight w:val="none"/>
                <w:lang w:val="en-US" w:eastAsia="zh-CN"/>
              </w:rPr>
              <w:t>量</w:t>
            </w:r>
            <w:r>
              <w:rPr>
                <w:rFonts w:hint="eastAsia" w:ascii="宋体" w:hAnsi="宋体" w:eastAsia="宋体" w:cs="宋体"/>
                <w:b w:val="0"/>
                <w:bCs w:val="0"/>
                <w:sz w:val="21"/>
                <w:szCs w:val="21"/>
                <w:highlight w:val="none"/>
                <w:lang w:val="en-US" w:eastAsia="zh-CN"/>
              </w:rPr>
              <w:t>≥</w:t>
            </w:r>
            <w:r>
              <w:rPr>
                <w:rFonts w:hint="eastAsia" w:cs="宋体"/>
                <w:b w:val="0"/>
                <w:bCs w:val="0"/>
                <w:sz w:val="21"/>
                <w:szCs w:val="21"/>
                <w:highlight w:val="none"/>
                <w:lang w:val="en-US" w:eastAsia="zh-CN"/>
              </w:rPr>
              <w:t>120</w:t>
            </w:r>
            <w:r>
              <w:rPr>
                <w:rFonts w:hint="eastAsia" w:ascii="宋体" w:hAnsi="宋体" w:eastAsia="宋体" w:cs="宋体"/>
                <w:b w:val="0"/>
                <w:bCs w:val="0"/>
                <w:sz w:val="21"/>
                <w:szCs w:val="21"/>
                <w:highlight w:val="none"/>
                <w:lang w:val="en-US" w:eastAsia="zh-CN"/>
              </w:rPr>
              <w:t>G，并发连接≥</w:t>
            </w:r>
            <w:r>
              <w:rPr>
                <w:rFonts w:hint="eastAsia" w:cs="宋体"/>
                <w:b w:val="0"/>
                <w:bCs w:val="0"/>
                <w:sz w:val="21"/>
                <w:szCs w:val="21"/>
                <w:highlight w:val="none"/>
                <w:lang w:val="en-US" w:eastAsia="zh-CN"/>
              </w:rPr>
              <w:t>7000</w:t>
            </w:r>
            <w:r>
              <w:rPr>
                <w:rFonts w:hint="eastAsia" w:ascii="宋体" w:hAnsi="宋体" w:eastAsia="宋体" w:cs="宋体"/>
                <w:b w:val="0"/>
                <w:bCs w:val="0"/>
                <w:sz w:val="21"/>
                <w:szCs w:val="21"/>
                <w:highlight w:val="none"/>
                <w:lang w:val="en-US" w:eastAsia="zh-CN"/>
              </w:rPr>
              <w:t>万，四层新建≥</w:t>
            </w:r>
            <w:r>
              <w:rPr>
                <w:rFonts w:hint="eastAsia" w:cs="宋体"/>
                <w:b w:val="0"/>
                <w:bCs w:val="0"/>
                <w:sz w:val="21"/>
                <w:szCs w:val="21"/>
                <w:highlight w:val="none"/>
                <w:lang w:val="en-US" w:eastAsia="zh-CN"/>
              </w:rPr>
              <w:t>200万</w:t>
            </w:r>
            <w:r>
              <w:rPr>
                <w:rFonts w:hint="eastAsia" w:ascii="宋体" w:hAnsi="宋体" w:eastAsia="宋体" w:cs="宋体"/>
                <w:b w:val="0"/>
                <w:bCs w:val="0"/>
                <w:sz w:val="21"/>
                <w:szCs w:val="21"/>
                <w:highlight w:val="none"/>
                <w:lang w:val="en-US" w:eastAsia="zh-CN"/>
              </w:rPr>
              <w:t>，七层新建≥</w:t>
            </w:r>
            <w:r>
              <w:rPr>
                <w:rFonts w:hint="eastAsia" w:cs="宋体"/>
                <w:b w:val="0"/>
                <w:bCs w:val="0"/>
                <w:sz w:val="21"/>
                <w:szCs w:val="21"/>
                <w:highlight w:val="none"/>
                <w:lang w:val="en-US" w:eastAsia="zh-CN"/>
              </w:rPr>
              <w:t>220万；</w:t>
            </w:r>
          </w:p>
          <w:p w14:paraId="5A2634A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、支持多功能合一同时支持链路负载均衡、服务器负载均衡和全局负载均衡的功能，无需额外购买相应授权；支持IPV6/IPV4双栈，支持NAT66、NAT64、NAT46、DNS64可对过渡型网络进行负载均衡</w:t>
            </w:r>
            <w:r>
              <w:rPr>
                <w:rFonts w:hint="eastAsia" w:cs="宋体"/>
                <w:b w:val="0"/>
                <w:bCs w:val="0"/>
                <w:sz w:val="21"/>
                <w:szCs w:val="21"/>
                <w:highlight w:val="none"/>
                <w:lang w:val="en-US" w:eastAsia="zh-CN"/>
              </w:rPr>
              <w:t>；</w:t>
            </w:r>
          </w:p>
          <w:p w14:paraId="252E2E4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支持轮询算法、比率算法、带宽比率算法、首个有效算法、随机算法、加权随机算法、丢包算法、最小连接数算法、加权最小连接数算法、最小流量算法、加权最小流量算法、观察者算法、最小包速率算法、最小带宽算法、最小连接速率算法、静态就近算法、动态就近算法、静态就近（HA）算法、源地址算法、目的地址算法、源地址和源端口算法</w:t>
            </w:r>
            <w:r>
              <w:rPr>
                <w:rFonts w:hint="eastAsia" w:cs="宋体"/>
                <w:b w:val="0"/>
                <w:bCs w:val="0"/>
                <w:sz w:val="21"/>
                <w:szCs w:val="21"/>
                <w:highlight w:val="none"/>
                <w:lang w:val="en-US" w:eastAsia="zh-CN"/>
              </w:rPr>
              <w:t>；</w:t>
            </w:r>
          </w:p>
          <w:p w14:paraId="3FF2C5C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highlight w:val="none"/>
              </w:rPr>
              <w:t>●</w:t>
            </w:r>
            <w:r>
              <w:rPr>
                <w:rFonts w:hint="eastAsia" w:ascii="宋体" w:hAnsi="宋体" w:eastAsia="宋体" w:cs="宋体"/>
                <w:b w:val="0"/>
                <w:bCs w:val="0"/>
                <w:sz w:val="21"/>
                <w:szCs w:val="21"/>
                <w:highlight w:val="none"/>
                <w:lang w:val="en-US" w:eastAsia="zh-CN"/>
              </w:rPr>
              <w:t>4、DNS server支持A记录,AAAA记录，CNAME记录，MX记录、NS记录、TXT记录、CAA记录、SRV记录。支持主域名服务器、从域名服务器和转发域名服务器</w:t>
            </w:r>
            <w:r>
              <w:rPr>
                <w:rFonts w:hint="eastAsia" w:cs="宋体"/>
                <w:b w:val="0"/>
                <w:bCs w:val="0"/>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r>
              <w:rPr>
                <w:rFonts w:hint="eastAsia" w:cs="宋体"/>
                <w:b/>
                <w:bCs/>
                <w:sz w:val="21"/>
                <w:szCs w:val="21"/>
                <w:highlight w:val="none"/>
                <w:lang w:val="en-US" w:eastAsia="zh-CN"/>
              </w:rPr>
              <w:t>）</w:t>
            </w:r>
          </w:p>
          <w:p w14:paraId="2F8DF6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★5、地址库包含国内ISP地址库、全国地址库和全球地址库，支持地址库手动导入，支持地址库查询</w:t>
            </w:r>
            <w:r>
              <w:rPr>
                <w:rFonts w:hint="eastAsia" w:cs="宋体"/>
                <w:b w:val="0"/>
                <w:bCs w:val="0"/>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r>
              <w:rPr>
                <w:rFonts w:hint="eastAsia" w:cs="宋体"/>
                <w:b/>
                <w:bCs/>
                <w:sz w:val="21"/>
                <w:szCs w:val="21"/>
                <w:highlight w:val="none"/>
                <w:lang w:val="en-US" w:eastAsia="zh-CN"/>
              </w:rPr>
              <w:t>）</w:t>
            </w:r>
          </w:p>
          <w:p w14:paraId="1ED780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6、支持主动健康检查和被动健康检查相结合的方式，健康检查类型包括ICMP、TCP、TCP_ECV、UDP、TCP被动、HTTP、HTTPS、FIX、SSL、SOAP、HTTP被动、RADIUS、LDAP、WAP、DNS、IMAP、POP3、SMTP、FTP、EXTERNAL、数据库等；</w:t>
            </w:r>
          </w:p>
          <w:p w14:paraId="570B20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利用读写分离技术实现数据库负载且无需在服务器上安装任何插件或软件。通过对数据库操作请求做内容解析，将其中的写操作调度到指定服务器，减少服务器压力，提高数据库资源利用率，提升业务响应速度；</w:t>
            </w:r>
          </w:p>
          <w:p w14:paraId="46BFC9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8、支持CSS加速功能，支持内嵌CSS,合并CSS,最小化CSS。支持JavaScript加速功能，支持内嵌JS，合并JS，最小化JS。支持HTML加速功能，支持去除空白，去除注释。支持图片加速功能，支持内嵌图片，转换图片格式；</w:t>
            </w:r>
          </w:p>
          <w:p w14:paraId="283BE4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功能三（潜伏威胁探针）：</w:t>
            </w:r>
          </w:p>
          <w:p w14:paraId="3D6ED1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标准2U机架设备，网络层吞吐量≥2Gbps，内存大小≥8G，千兆电口≥8</w:t>
            </w:r>
            <w:r>
              <w:rPr>
                <w:rFonts w:hint="eastAsia" w:cs="宋体"/>
                <w:b w:val="0"/>
                <w:bCs w:val="0"/>
                <w:sz w:val="21"/>
                <w:szCs w:val="21"/>
                <w:highlight w:val="none"/>
                <w:lang w:val="en-US" w:eastAsia="zh-CN"/>
              </w:rPr>
              <w:t>个</w:t>
            </w:r>
            <w:r>
              <w:rPr>
                <w:rFonts w:hint="eastAsia" w:ascii="宋体" w:hAnsi="宋体" w:eastAsia="宋体" w:cs="宋体"/>
                <w:b w:val="0"/>
                <w:bCs w:val="0"/>
                <w:sz w:val="21"/>
                <w:szCs w:val="21"/>
                <w:highlight w:val="none"/>
                <w:lang w:val="en-US" w:eastAsia="zh-CN"/>
              </w:rPr>
              <w:t>，万兆光口≥2</w:t>
            </w:r>
            <w:r>
              <w:rPr>
                <w:rFonts w:hint="eastAsia" w:cs="宋体"/>
                <w:b w:val="0"/>
                <w:bCs w:val="0"/>
                <w:sz w:val="21"/>
                <w:szCs w:val="21"/>
                <w:highlight w:val="none"/>
                <w:lang w:val="en-US" w:eastAsia="zh-CN"/>
              </w:rPr>
              <w:t>个；</w:t>
            </w:r>
          </w:p>
          <w:p w14:paraId="06D297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cs="宋体"/>
                <w:b w:val="0"/>
                <w:bCs w:val="0"/>
                <w:sz w:val="21"/>
                <w:szCs w:val="21"/>
                <w:highlight w:val="none"/>
                <w:lang w:val="en-US" w:eastAsia="zh-CN"/>
              </w:rPr>
              <w:t>、产品</w:t>
            </w:r>
            <w:r>
              <w:rPr>
                <w:rFonts w:hint="eastAsia" w:ascii="宋体" w:hAnsi="宋体" w:eastAsia="宋体" w:cs="宋体"/>
                <w:b w:val="0"/>
                <w:bCs w:val="0"/>
                <w:sz w:val="21"/>
                <w:szCs w:val="21"/>
                <w:highlight w:val="none"/>
                <w:lang w:val="en-US" w:eastAsia="zh-CN"/>
              </w:rPr>
              <w:t>旁路部署支持探针接入多个镜像口，每个接口相互独立且不影响</w:t>
            </w:r>
            <w:r>
              <w:rPr>
                <w:rFonts w:hint="eastAsia" w:cs="宋体"/>
                <w:b w:val="0"/>
                <w:bCs w:val="0"/>
                <w:sz w:val="21"/>
                <w:szCs w:val="21"/>
                <w:highlight w:val="none"/>
                <w:lang w:val="en-US" w:eastAsia="zh-CN"/>
              </w:rPr>
              <w:t>；</w:t>
            </w:r>
          </w:p>
          <w:p w14:paraId="1EB207C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支持敏感信息检测功能，内置身份证、MD5、手机号码、银行卡号、邮箱等敏感信息，可自定义敏感信息检测策略选择组合的敏感信息，可基于IP统计和连接统计2种方式进行命中次数统计</w:t>
            </w:r>
            <w:r>
              <w:rPr>
                <w:rFonts w:hint="eastAsia" w:cs="宋体"/>
                <w:b w:val="0"/>
                <w:bCs w:val="0"/>
                <w:sz w:val="21"/>
                <w:szCs w:val="21"/>
                <w:highlight w:val="none"/>
                <w:lang w:val="en-US" w:eastAsia="zh-CN"/>
              </w:rPr>
              <w:t>；</w:t>
            </w:r>
          </w:p>
          <w:p w14:paraId="36E3DB0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r>
              <w:rPr>
                <w:rFonts w:hint="eastAsia" w:cs="宋体"/>
                <w:b w:val="0"/>
                <w:bCs w:val="0"/>
                <w:sz w:val="21"/>
                <w:szCs w:val="21"/>
                <w:highlight w:val="none"/>
                <w:lang w:val="en-US" w:eastAsia="zh-CN"/>
              </w:rPr>
              <w:t>；</w:t>
            </w:r>
          </w:p>
          <w:p w14:paraId="252A5A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支持多种类型弱口令策略可选；支持自定义FTP弱口令检测，规则设置如空口令、用户名和密码相同、长度、弱口令列表等；支持口令暴力破解检测不同类型（FTP/WEB登录）的爆破次数</w:t>
            </w:r>
            <w:r>
              <w:rPr>
                <w:rFonts w:hint="eastAsia" w:cs="宋体"/>
                <w:b w:val="0"/>
                <w:bCs w:val="0"/>
                <w:sz w:val="21"/>
                <w:szCs w:val="21"/>
                <w:highlight w:val="none"/>
                <w:lang w:val="en-US" w:eastAsia="zh-CN"/>
              </w:rPr>
              <w:t>；</w:t>
            </w:r>
          </w:p>
          <w:p w14:paraId="367D2D8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r>
              <w:rPr>
                <w:rFonts w:hint="eastAsia"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支持Database漏洞攻击、DNS漏洞攻击、FTP漏洞攻击、Mail漏洞攻击、Media漏洞攻击、Network Device、Shellcode漏洞攻击、System漏洞攻击、Telnet漏洞攻击、Tftp漏洞攻击、Web漏洞攻击、IPS云防护等服务漏洞攻击检测</w:t>
            </w:r>
            <w:r>
              <w:rPr>
                <w:rFonts w:hint="eastAsia" w:cs="宋体"/>
                <w:b w:val="0"/>
                <w:bCs w:val="0"/>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r>
              <w:rPr>
                <w:rFonts w:hint="eastAsia" w:cs="宋体"/>
                <w:b/>
                <w:bCs/>
                <w:sz w:val="21"/>
                <w:szCs w:val="21"/>
                <w:highlight w:val="none"/>
                <w:lang w:val="en-US" w:eastAsia="zh-CN"/>
              </w:rPr>
              <w:t>）</w:t>
            </w:r>
          </w:p>
          <w:p w14:paraId="78260E9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支持FTP、IMAP、MS Sql、Mysql、Oracle、Discuz、Basic Authorization、Glassfish、POP3、RDP、Sip 、Jboss、Redis 、Ldap 、SMTP、SSH、Telnet、Tomcat、Sybase、Weblogic 、Wordpress 、VNC等73种协议暴力破解检测</w:t>
            </w:r>
            <w:r>
              <w:rPr>
                <w:rFonts w:hint="eastAsia" w:cs="宋体"/>
                <w:b w:val="0"/>
                <w:bCs w:val="0"/>
                <w:sz w:val="21"/>
                <w:szCs w:val="21"/>
                <w:highlight w:val="none"/>
                <w:lang w:val="en-US" w:eastAsia="zh-CN"/>
              </w:rPr>
              <w:t>；</w:t>
            </w:r>
          </w:p>
          <w:p w14:paraId="2718A8D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支持检测出网络中的网络拓扑设备进行绘制，更直观可视化查看网络整体情况</w:t>
            </w:r>
            <w:r>
              <w:rPr>
                <w:rFonts w:hint="eastAsia" w:cs="宋体"/>
                <w:b w:val="0"/>
                <w:bCs w:val="0"/>
                <w:sz w:val="21"/>
                <w:szCs w:val="21"/>
                <w:highlight w:val="none"/>
                <w:lang w:val="en-US" w:eastAsia="zh-CN"/>
              </w:rPr>
              <w:t>；</w:t>
            </w:r>
          </w:p>
          <w:p w14:paraId="4B0C94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支持HTTP未知站点下载可执行文件、浏览最近30天注册域名、浏览恶意动态域名、访问随机算法生成域名、暴力破解攻击、反弹连接、IRC通信等僵尸网络行为检测</w:t>
            </w:r>
            <w:r>
              <w:rPr>
                <w:rFonts w:hint="eastAsia" w:cs="宋体"/>
                <w:b w:val="0"/>
                <w:bCs w:val="0"/>
                <w:sz w:val="21"/>
                <w:szCs w:val="21"/>
                <w:highlight w:val="none"/>
                <w:lang w:val="en-US" w:eastAsia="zh-CN"/>
              </w:rPr>
              <w:t>；</w:t>
            </w:r>
          </w:p>
          <w:p w14:paraId="711742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0、</w:t>
            </w:r>
            <w:r>
              <w:rPr>
                <w:rFonts w:hint="eastAsia" w:ascii="宋体" w:hAnsi="宋体" w:eastAsia="宋体" w:cs="宋体"/>
                <w:b w:val="0"/>
                <w:bCs w:val="0"/>
                <w:sz w:val="21"/>
                <w:szCs w:val="21"/>
                <w:highlight w:val="none"/>
                <w:lang w:val="en-US" w:eastAsia="zh-CN"/>
              </w:rPr>
              <w:t>为提升学校现有设备利用率，本次</w:t>
            </w:r>
            <w:r>
              <w:rPr>
                <w:rFonts w:hint="eastAsia" w:cs="宋体"/>
                <w:b w:val="0"/>
                <w:bCs w:val="0"/>
                <w:sz w:val="21"/>
                <w:szCs w:val="21"/>
                <w:highlight w:val="none"/>
                <w:lang w:val="en-US" w:eastAsia="zh-CN"/>
              </w:rPr>
              <w:t>所投</w:t>
            </w:r>
            <w:r>
              <w:rPr>
                <w:rFonts w:hint="eastAsia" w:ascii="宋体" w:hAnsi="宋体" w:eastAsia="宋体" w:cs="宋体"/>
                <w:b w:val="0"/>
                <w:bCs w:val="0"/>
                <w:sz w:val="21"/>
                <w:szCs w:val="21"/>
                <w:highlight w:val="none"/>
                <w:lang w:val="en-US" w:eastAsia="zh-CN"/>
              </w:rPr>
              <w:t>探针需同步支持与学校现有态势感知平台数据对接</w:t>
            </w:r>
            <w:r>
              <w:rPr>
                <w:rFonts w:hint="eastAsia" w:cs="宋体"/>
                <w:b w:val="0"/>
                <w:bCs w:val="0"/>
                <w:sz w:val="21"/>
                <w:szCs w:val="21"/>
                <w:highlight w:val="none"/>
                <w:lang w:val="en-US" w:eastAsia="zh-CN"/>
              </w:rPr>
              <w:t>；</w:t>
            </w:r>
          </w:p>
          <w:p w14:paraId="6EB0842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功能四（态势感知平台）：</w:t>
            </w:r>
          </w:p>
          <w:p w14:paraId="6580639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标准2U机架式设备，存储容量≥21T，内存≥4*32GB DDR4 3200，数据盘≥8*4TB，标配盘位数≥12，配备冗余电源，接口≥4千兆电口。</w:t>
            </w:r>
          </w:p>
          <w:p w14:paraId="0222483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本次新增态势感知平台，需能与我单位现有态势感知平台组件集群化运行，通过同一个管理平台统一管理，原有资产信息、脆弱性信息、安全告警、安全事件信息自动同步到现有平台</w:t>
            </w:r>
            <w:r>
              <w:rPr>
                <w:rFonts w:hint="eastAsia" w:cs="宋体"/>
                <w:b w:val="0"/>
                <w:bCs w:val="0"/>
                <w:sz w:val="21"/>
                <w:szCs w:val="21"/>
                <w:highlight w:val="none"/>
                <w:lang w:val="en-US" w:eastAsia="zh-CN"/>
              </w:rPr>
              <w:t>；</w:t>
            </w:r>
          </w:p>
          <w:p w14:paraId="562CD5C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支持安全态势的可视化呈现，帮助客户更直观的看清风险、看懂威胁，产品内置（非自定义）综合安全态势、物联网安全态势、分支安全态势、安全事件、通报预警态势、脆弱性态势、资产态势、全球网络攻击态势、资产监控、告警实时监控、设备运行态势、重大活动网络安全指挥调度大屏、正常外连监控等不少于17块大屏展示界面证明；支持大屏轮播及自定义大屏顺序设置和轮播间隔设置，方便客户结合自身业务需求进行个性化设置</w:t>
            </w:r>
            <w:r>
              <w:rPr>
                <w:rFonts w:hint="eastAsia" w:cs="宋体"/>
                <w:b w:val="0"/>
                <w:bCs w:val="0"/>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r>
              <w:rPr>
                <w:rFonts w:hint="eastAsia" w:cs="宋体"/>
                <w:b/>
                <w:bCs/>
                <w:sz w:val="21"/>
                <w:szCs w:val="21"/>
                <w:highlight w:val="none"/>
                <w:lang w:val="en-US" w:eastAsia="zh-CN"/>
              </w:rPr>
              <w:t>）</w:t>
            </w:r>
          </w:p>
          <w:p w14:paraId="1D5406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支持主机类资产识别，能够识别资产数据来源、IP地址、主机名、MAC地址、基线异常、操作系统、操作系统详请、主机类型、服务与端口、状态、责任人、EDR状态、标签、最近上线时间、所属资产组织、资产名称、应用、IP类型、识别方式、首次发现时间等</w:t>
            </w:r>
            <w:r>
              <w:rPr>
                <w:rFonts w:hint="eastAsia" w:cs="宋体"/>
                <w:b w:val="0"/>
                <w:bCs w:val="0"/>
                <w:sz w:val="21"/>
                <w:szCs w:val="21"/>
                <w:highlight w:val="none"/>
                <w:lang w:val="en-US" w:eastAsia="zh-CN"/>
              </w:rPr>
              <w:t>；</w:t>
            </w:r>
          </w:p>
          <w:p w14:paraId="76B650A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支持EBA实体行为分析功能，通过对这些对象进行持续的行为分析和行为画像构建，识别服务器异常，包括DGA解析请求、外联C&amp;C服务器、异常协议利用、下载可疑文件、异常横向访问等</w:t>
            </w:r>
            <w:r>
              <w:rPr>
                <w:rFonts w:hint="eastAsia" w:cs="宋体"/>
                <w:b w:val="0"/>
                <w:bCs w:val="0"/>
                <w:sz w:val="21"/>
                <w:szCs w:val="21"/>
                <w:highlight w:val="none"/>
                <w:lang w:val="en-US" w:eastAsia="zh-CN"/>
              </w:rPr>
              <w:t>；</w:t>
            </w:r>
          </w:p>
          <w:p w14:paraId="0BABBC5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支持挖矿专项检测页面，帮助客户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列表的形式展示挖矿事件，包括最近发生时间、威胁描述、威胁定性、挖矿阶段、威胁等级、受害者IP、攻击次数、威胁情报等信息</w:t>
            </w:r>
            <w:r>
              <w:rPr>
                <w:rFonts w:hint="eastAsia" w:cs="宋体"/>
                <w:b w:val="0"/>
                <w:bCs w:val="0"/>
                <w:sz w:val="21"/>
                <w:szCs w:val="21"/>
                <w:highlight w:val="none"/>
                <w:lang w:val="en-US" w:eastAsia="zh-CN"/>
              </w:rPr>
              <w:t>；</w:t>
            </w:r>
          </w:p>
          <w:p w14:paraId="69951E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实时检测到关注告警类型的威胁可以发出声音告警提醒用户。支持受害者IP/攻击者IP/代理服务器IP/威胁描述/威胁类型等维度自定义告警复制，支持基于威胁定性、重点关注资产以及威胁类型排行等维度对告警进行筛选</w:t>
            </w:r>
            <w:r>
              <w:rPr>
                <w:rFonts w:hint="eastAsia" w:cs="宋体"/>
                <w:b w:val="0"/>
                <w:bCs w:val="0"/>
                <w:sz w:val="21"/>
                <w:szCs w:val="21"/>
                <w:highlight w:val="none"/>
                <w:lang w:val="en-US" w:eastAsia="zh-CN"/>
              </w:rPr>
              <w:t>；</w:t>
            </w:r>
          </w:p>
          <w:p w14:paraId="6D0D9BF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支持自定义分支管理权限，分支管理员具备独立的管理页面，可设置分支管理员权限，如类型、责任人、管理范围、页面权限、设备权限等</w:t>
            </w:r>
            <w:r>
              <w:rPr>
                <w:rFonts w:hint="eastAsia" w:cs="宋体"/>
                <w:b w:val="0"/>
                <w:bCs w:val="0"/>
                <w:sz w:val="21"/>
                <w:szCs w:val="21"/>
                <w:highlight w:val="none"/>
                <w:lang w:val="en-US" w:eastAsia="zh-CN"/>
              </w:rPr>
              <w:t>；</w:t>
            </w:r>
          </w:p>
          <w:p w14:paraId="066ECB7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支持威胁定性引擎以分析告警的上下文关联、时序关系、历史告警发生的频率规律性，结合威胁情报与安全专家经验对当前的安全告警进行目的性确认，从而确认安全告警的优先级顺序，支持基于人工渗透、程序自动化、业务相关风险、其它4个维度对告警进行分类，帮助安全人员快速定位高危告警并及时处置</w:t>
            </w:r>
            <w:r>
              <w:rPr>
                <w:rFonts w:hint="eastAsia" w:cs="宋体"/>
                <w:b w:val="0"/>
                <w:bCs w:val="0"/>
                <w:sz w:val="21"/>
                <w:szCs w:val="21"/>
                <w:highlight w:val="none"/>
                <w:lang w:val="en-US" w:eastAsia="zh-CN"/>
              </w:rPr>
              <w:t>；</w:t>
            </w:r>
          </w:p>
          <w:p w14:paraId="764DFC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支持对下级平台和探针设备进行统一运维监控，支持对网卡，内存，raid卡，磁盘的硬件异常进行故障监控；支持故障告警在横幅优先展示，提升设备安全性</w:t>
            </w:r>
            <w:r>
              <w:rPr>
                <w:rFonts w:hint="eastAsia" w:cs="宋体"/>
                <w:b w:val="0"/>
                <w:bCs w:val="0"/>
                <w:sz w:val="21"/>
                <w:szCs w:val="21"/>
                <w:highlight w:val="none"/>
                <w:lang w:val="en-US" w:eastAsia="zh-CN"/>
              </w:rPr>
              <w:t>；</w:t>
            </w:r>
          </w:p>
          <w:p w14:paraId="1008247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支持整体展示服务器脆弱性风险分析、热点漏洞情况、脆弱性风险详情（漏洞风险、配置风险、弱密码、web明文传输、可用性风险）</w:t>
            </w:r>
            <w:r>
              <w:rPr>
                <w:rFonts w:hint="eastAsia" w:cs="宋体"/>
                <w:b w:val="0"/>
                <w:bCs w:val="0"/>
                <w:sz w:val="21"/>
                <w:szCs w:val="21"/>
                <w:highlight w:val="none"/>
                <w:lang w:val="en-US" w:eastAsia="zh-CN"/>
              </w:rPr>
              <w:t>；</w:t>
            </w:r>
          </w:p>
          <w:p w14:paraId="6259F61A">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s="宋体"/>
                <w:b w:val="0"/>
                <w:bCs w:val="0"/>
                <w:sz w:val="21"/>
                <w:szCs w:val="21"/>
                <w:highlight w:val="none"/>
                <w:lang w:val="en-US" w:eastAsia="zh-CN"/>
              </w:rPr>
            </w:pPr>
            <w:r>
              <w:rPr>
                <w:rFonts w:hint="eastAsia" w:cs="宋体"/>
                <w:b w:val="0"/>
                <w:bCs w:val="0"/>
                <w:sz w:val="21"/>
                <w:szCs w:val="21"/>
                <w:highlight w:val="none"/>
                <w:lang w:val="en-US" w:eastAsia="zh-CN"/>
              </w:rPr>
              <w:t>★以上所有功能项需提供原厂商5年质保及相关配套</w:t>
            </w:r>
            <w:r>
              <w:rPr>
                <w:rFonts w:hint="eastAsia" w:ascii="宋体" w:hAnsi="宋体" w:eastAsia="宋体" w:cs="宋体"/>
                <w:b w:val="0"/>
                <w:bCs w:val="0"/>
                <w:sz w:val="21"/>
                <w:szCs w:val="21"/>
                <w:highlight w:val="none"/>
                <w:lang w:val="en-US" w:eastAsia="zh-CN"/>
              </w:rPr>
              <w:t>升级</w:t>
            </w:r>
            <w:r>
              <w:rPr>
                <w:rFonts w:hint="eastAsia"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w:t>
            </w:r>
          </w:p>
        </w:tc>
        <w:tc>
          <w:tcPr>
            <w:tcW w:w="538" w:type="pct"/>
            <w:noWrap w:val="0"/>
            <w:vAlign w:val="center"/>
          </w:tcPr>
          <w:p w14:paraId="4BF49F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1套</w:t>
            </w:r>
          </w:p>
        </w:tc>
        <w:tc>
          <w:tcPr>
            <w:tcW w:w="401" w:type="pct"/>
            <w:noWrap w:val="0"/>
            <w:vAlign w:val="center"/>
          </w:tcPr>
          <w:p w14:paraId="0ECD05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工业</w:t>
            </w:r>
          </w:p>
        </w:tc>
        <w:tc>
          <w:tcPr>
            <w:tcW w:w="351" w:type="pct"/>
            <w:noWrap w:val="0"/>
            <w:vAlign w:val="center"/>
          </w:tcPr>
          <w:p w14:paraId="352A75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highlight w:val="none"/>
              </w:rPr>
            </w:pPr>
          </w:p>
        </w:tc>
      </w:tr>
      <w:tr w14:paraId="0F30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pct"/>
            <w:noWrap w:val="0"/>
            <w:vAlign w:val="center"/>
          </w:tcPr>
          <w:p w14:paraId="3554AC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s="宋体"/>
                <w:sz w:val="21"/>
                <w:szCs w:val="21"/>
                <w:highlight w:val="none"/>
                <w:lang w:val="en-US" w:eastAsia="zh-CN"/>
              </w:rPr>
            </w:pPr>
            <w:r>
              <w:rPr>
                <w:rFonts w:hint="eastAsia" w:cs="宋体"/>
                <w:sz w:val="21"/>
                <w:szCs w:val="21"/>
                <w:highlight w:val="none"/>
                <w:lang w:val="en-US" w:eastAsia="zh-CN"/>
              </w:rPr>
              <w:t>2</w:t>
            </w:r>
          </w:p>
        </w:tc>
        <w:tc>
          <w:tcPr>
            <w:tcW w:w="409" w:type="pct"/>
            <w:noWrap w:val="0"/>
            <w:vAlign w:val="center"/>
          </w:tcPr>
          <w:p w14:paraId="352C47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宋体"/>
                <w:sz w:val="21"/>
                <w:szCs w:val="21"/>
                <w:highlight w:val="none"/>
                <w:lang w:val="en-US" w:eastAsia="zh-CN"/>
              </w:rPr>
            </w:pPr>
            <w:r>
              <w:rPr>
                <w:rFonts w:hint="eastAsia" w:ascii="宋体" w:hAnsi="宋体" w:eastAsia="宋体" w:cs="宋体"/>
                <w:b w:val="0"/>
                <w:bCs w:val="0"/>
                <w:sz w:val="21"/>
                <w:szCs w:val="21"/>
                <w:highlight w:val="none"/>
                <w:lang w:val="en-US" w:eastAsia="zh-CN"/>
              </w:rPr>
              <w:t>教科研数据安全设备2--网络安全边界与访问管理设备</w:t>
            </w:r>
          </w:p>
        </w:tc>
        <w:tc>
          <w:tcPr>
            <w:tcW w:w="2902" w:type="pct"/>
            <w:noWrap w:val="0"/>
            <w:vAlign w:val="top"/>
          </w:tcPr>
          <w:p w14:paraId="0EE84C0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功能一（出口防火墙）：</w:t>
            </w:r>
          </w:p>
          <w:p w14:paraId="44EE8F5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★1、标准机架式1U设备，防火墙吞吐量≥35Gbps，最大并发连接数≥2000万，每秒新建连接数≥50万;</w:t>
            </w:r>
          </w:p>
          <w:p w14:paraId="780EDC0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2、整机提供千兆Combo接口≥8个，千兆电口≥4个，万兆光口≥10个，配置双电源，240G SSD硬盘≥1块，SSL VPN并发数≥100个；</w:t>
            </w:r>
          </w:p>
          <w:p w14:paraId="685F975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3、产品采用国产自主研发的关键芯片(CPU) ；</w:t>
            </w:r>
          </w:p>
          <w:p w14:paraId="79E6533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4、支持设备的WEB管理页面中直接打开CLI控制命令；</w:t>
            </w:r>
          </w:p>
          <w:p w14:paraId="07F6F6A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5、支持基于源IP/目的IP，服务类型，应用类型，安全域，时间段等字段进行安全策略规则的配置；</w:t>
            </w:r>
          </w:p>
          <w:p w14:paraId="41C9EC0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6、支持静态路由、策略路由、RIP、OSPF、BGP、ISIS等路由协议，支持SRv6协议，支持IPv6协议栈、IPV6穿越技术、IPV6路由协议；</w:t>
            </w:r>
          </w:p>
          <w:p w14:paraId="70EB41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7、系统预定义签名数量≥20000，并支持特征库自动更新；</w:t>
            </w:r>
          </w:p>
          <w:p w14:paraId="7C9FC3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rPr>
              <w:t>●</w:t>
            </w:r>
            <w:r>
              <w:rPr>
                <w:rFonts w:hint="eastAsia" w:ascii="宋体" w:hAnsi="宋体" w:eastAsia="宋体" w:cs="宋体"/>
                <w:b w:val="0"/>
                <w:bCs w:val="0"/>
                <w:sz w:val="21"/>
                <w:szCs w:val="21"/>
                <w:highlight w:val="none"/>
                <w:lang w:val="en-US" w:eastAsia="zh-CN"/>
              </w:rPr>
              <w:t>8、支持应用识别，预置应用≥6000，支持自定义应用，支持50+的分类和20+的风险标签，可基于分类及标签进行访问控制;</w:t>
            </w:r>
            <w:r>
              <w:rPr>
                <w:rFonts w:hint="eastAsia" w:ascii="宋体" w:hAnsi="宋体" w:eastAsia="宋体" w:cs="宋体"/>
                <w:b/>
                <w:bCs/>
                <w:sz w:val="21"/>
                <w:szCs w:val="21"/>
                <w:highlight w:val="none"/>
                <w:lang w:val="en-US" w:eastAsia="zh-CN"/>
              </w:rPr>
              <w:t>（投标文件中须提供官网截图证明）</w:t>
            </w:r>
          </w:p>
          <w:p w14:paraId="79A9BE9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9、在识别业务应用的基础上，可管理每IP使用的带宽,确保关键业务和关键用户的网络体验，管控方式包括限制最大带宽或保障最小带宽、修改应用转发优先级等；</w:t>
            </w:r>
          </w:p>
          <w:p w14:paraId="78DEDC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rPr>
              <w:t>●</w:t>
            </w:r>
            <w:r>
              <w:rPr>
                <w:rFonts w:hint="eastAsia" w:ascii="宋体" w:hAnsi="宋体" w:eastAsia="宋体" w:cs="宋体"/>
                <w:b w:val="0"/>
                <w:bCs w:val="0"/>
                <w:sz w:val="21"/>
                <w:szCs w:val="21"/>
                <w:highlight w:val="none"/>
                <w:lang w:val="en-US" w:eastAsia="zh-CN"/>
              </w:rPr>
              <w:t>10、支持DNS恶意域名过滤,基于海量的威胁信息,利用AI等技术发现恶意DNS请求，本地最大支持200万的DNS恶意域名库；</w:t>
            </w:r>
            <w:r>
              <w:rPr>
                <w:rFonts w:hint="eastAsia" w:ascii="宋体" w:hAnsi="宋体" w:eastAsia="宋体" w:cs="宋体"/>
                <w:b/>
                <w:bCs/>
                <w:sz w:val="21"/>
                <w:szCs w:val="21"/>
                <w:highlight w:val="none"/>
                <w:lang w:val="en-US" w:eastAsia="zh-CN"/>
              </w:rPr>
              <w:t>（投标文件中须提供官网截图证明）</w:t>
            </w:r>
          </w:p>
          <w:p w14:paraId="7F9021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功能二（内网防火墙）：</w:t>
            </w:r>
          </w:p>
          <w:p w14:paraId="3AECD2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★1、标准2U机架设备，内存≥16G，机械硬盘≥4T，千兆电口≥8个，万兆光口≥</w:t>
            </w:r>
            <w:r>
              <w:rPr>
                <w:rFonts w:hint="eastAsia"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个，千兆光</w:t>
            </w:r>
            <w:r>
              <w:rPr>
                <w:rFonts w:hint="eastAsia" w:cs="宋体"/>
                <w:b w:val="0"/>
                <w:bCs w:val="0"/>
                <w:sz w:val="21"/>
                <w:szCs w:val="21"/>
                <w:highlight w:val="none"/>
                <w:lang w:val="en-US" w:eastAsia="zh-CN"/>
              </w:rPr>
              <w:t>口</w:t>
            </w:r>
            <w:r>
              <w:rPr>
                <w:rFonts w:hint="eastAsia" w:ascii="宋体" w:hAnsi="宋体" w:eastAsia="宋体" w:cs="宋体"/>
                <w:b w:val="0"/>
                <w:bCs w:val="0"/>
                <w:sz w:val="21"/>
                <w:szCs w:val="21"/>
                <w:highlight w:val="none"/>
                <w:lang w:val="en-US" w:eastAsia="zh-CN"/>
              </w:rPr>
              <w:t>≥2个，扩展槽位≥2个，冗余电源</w:t>
            </w:r>
            <w:r>
              <w:rPr>
                <w:rFonts w:hint="eastAsia" w:cs="宋体"/>
                <w:b w:val="0"/>
                <w:bCs w:val="0"/>
                <w:sz w:val="21"/>
                <w:szCs w:val="21"/>
                <w:highlight w:val="none"/>
                <w:lang w:val="en-US" w:eastAsia="zh-CN"/>
              </w:rPr>
              <w:t>；</w:t>
            </w:r>
          </w:p>
          <w:p w14:paraId="53C9E4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吞吐</w:t>
            </w:r>
            <w:r>
              <w:rPr>
                <w:rFonts w:hint="eastAsia" w:cs="宋体"/>
                <w:b w:val="0"/>
                <w:bCs w:val="0"/>
                <w:sz w:val="21"/>
                <w:szCs w:val="21"/>
                <w:highlight w:val="none"/>
                <w:lang w:val="en-US" w:eastAsia="zh-CN"/>
              </w:rPr>
              <w:t>量</w:t>
            </w:r>
            <w:r>
              <w:rPr>
                <w:rFonts w:hint="eastAsia" w:ascii="宋体" w:hAnsi="宋体" w:eastAsia="宋体" w:cs="宋体"/>
                <w:b w:val="0"/>
                <w:bCs w:val="0"/>
                <w:sz w:val="21"/>
                <w:szCs w:val="21"/>
                <w:highlight w:val="none"/>
                <w:lang w:val="en-US" w:eastAsia="zh-CN"/>
              </w:rPr>
              <w:t>≥35G，应用层吞吐量≥16G，并发连接≥</w:t>
            </w:r>
            <w:r>
              <w:rPr>
                <w:rFonts w:hint="eastAsia" w:cs="宋体"/>
                <w:b w:val="0"/>
                <w:bCs w:val="0"/>
                <w:sz w:val="21"/>
                <w:szCs w:val="21"/>
                <w:highlight w:val="none"/>
                <w:lang w:val="en-US" w:eastAsia="zh-CN"/>
              </w:rPr>
              <w:t>2000</w:t>
            </w:r>
            <w:r>
              <w:rPr>
                <w:rFonts w:hint="eastAsia" w:ascii="宋体" w:hAnsi="宋体" w:eastAsia="宋体" w:cs="宋体"/>
                <w:b w:val="0"/>
                <w:bCs w:val="0"/>
                <w:sz w:val="21"/>
                <w:szCs w:val="21"/>
                <w:highlight w:val="none"/>
                <w:lang w:val="en-US" w:eastAsia="zh-CN"/>
              </w:rPr>
              <w:t>万，每秒新建连接≥</w:t>
            </w:r>
            <w:r>
              <w:rPr>
                <w:rFonts w:hint="eastAsia" w:cs="宋体"/>
                <w:b w:val="0"/>
                <w:bCs w:val="0"/>
                <w:sz w:val="21"/>
                <w:szCs w:val="21"/>
                <w:highlight w:val="none"/>
                <w:lang w:val="en-US" w:eastAsia="zh-CN"/>
              </w:rPr>
              <w:t>50</w:t>
            </w:r>
            <w:r>
              <w:rPr>
                <w:rFonts w:hint="eastAsia" w:ascii="宋体" w:hAnsi="宋体" w:eastAsia="宋体" w:cs="宋体"/>
                <w:b w:val="0"/>
                <w:bCs w:val="0"/>
                <w:sz w:val="21"/>
                <w:szCs w:val="21"/>
                <w:highlight w:val="none"/>
                <w:lang w:val="en-US" w:eastAsia="zh-CN"/>
              </w:rPr>
              <w:t>万</w:t>
            </w:r>
            <w:r>
              <w:rPr>
                <w:rFonts w:hint="eastAsia" w:cs="宋体"/>
                <w:b w:val="0"/>
                <w:bCs w:val="0"/>
                <w:sz w:val="21"/>
                <w:szCs w:val="21"/>
                <w:highlight w:val="none"/>
                <w:lang w:val="en-US" w:eastAsia="zh-CN"/>
              </w:rPr>
              <w:t>；</w:t>
            </w:r>
          </w:p>
          <w:p w14:paraId="549F060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支持路由、交换、虚拟线、Listening、混合工作模式；支持RIP、OSPF、BGP4、QinQ（VLAN VPN）、PIM-SM、PIM-DM等</w:t>
            </w:r>
            <w:r>
              <w:rPr>
                <w:rFonts w:hint="eastAsia" w:cs="宋体"/>
                <w:b w:val="0"/>
                <w:bCs w:val="0"/>
                <w:sz w:val="21"/>
                <w:szCs w:val="21"/>
                <w:highlight w:val="none"/>
                <w:lang w:val="en-US" w:eastAsia="zh-CN"/>
              </w:rPr>
              <w:t>；</w:t>
            </w:r>
          </w:p>
          <w:p w14:paraId="62101ED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、支持多种地址转换，支持源/目的NAT、双向NAT、NoNAT转换方式；支持源IP转换同一性；支持端口块地址转换和EIM地址转换。</w:t>
            </w:r>
          </w:p>
          <w:p w14:paraId="3CB235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rPr>
              <w:t>●</w:t>
            </w:r>
            <w:r>
              <w:rPr>
                <w:rFonts w:hint="eastAsia"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支持一体化安全策略配置，可以通过一条策略实现五元组、源MAC、源地区、目的地区、域名、应用、服务、时间、长连接、并发会话、WEB认证、IPS、AV、URL过滤、高级威胁防护、WAF、邮件安全、数据过滤、文件过滤、僵木蠕防御、审计、数据库防护、防代理、APT等功能配置</w:t>
            </w:r>
            <w:r>
              <w:rPr>
                <w:rFonts w:hint="eastAsia" w:cs="宋体"/>
                <w:b w:val="0"/>
                <w:bCs w:val="0"/>
                <w:sz w:val="21"/>
                <w:szCs w:val="21"/>
                <w:highlight w:val="none"/>
                <w:lang w:val="en-US" w:eastAsia="zh-CN"/>
              </w:rPr>
              <w:t>；</w:t>
            </w:r>
            <w:r>
              <w:rPr>
                <w:rFonts w:hint="eastAsia" w:ascii="宋体" w:hAnsi="宋体" w:eastAsia="宋体" w:cs="宋体"/>
                <w:b/>
                <w:bCs/>
                <w:sz w:val="21"/>
                <w:szCs w:val="21"/>
                <w:highlight w:val="none"/>
              </w:rPr>
              <w:t>（投标文件中</w:t>
            </w: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rPr>
              <w:t>提供第三方检测机构出具的带有CMA或CNAS标志的检测报告扫描件，至少包含报告首页，对应功能测试页和报告尾页）</w:t>
            </w:r>
          </w:p>
          <w:p w14:paraId="0F913D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、提供策略分析功能，支持策略命中分析、策略冗余分析、策略冲突检查、策略包含分析、宽泛策略分析，可在WEB界面显示检测结果</w:t>
            </w:r>
            <w:r>
              <w:rPr>
                <w:rFonts w:hint="eastAsia" w:cs="宋体"/>
                <w:b w:val="0"/>
                <w:bCs w:val="0"/>
                <w:sz w:val="21"/>
                <w:szCs w:val="21"/>
                <w:highlight w:val="none"/>
                <w:lang w:val="en-US" w:eastAsia="zh-CN"/>
              </w:rPr>
              <w:t>；</w:t>
            </w:r>
          </w:p>
          <w:p w14:paraId="1D343C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、访问控制策略执行动作支持放行、阻断、认证、收集，对需要认证的流量进行Web认证，策略中可设置用户 Web 认证的门户地址或收集策略流量访问记录，生成更细粒的策略</w:t>
            </w:r>
            <w:r>
              <w:rPr>
                <w:rFonts w:hint="eastAsia" w:cs="宋体"/>
                <w:b w:val="0"/>
                <w:bCs w:val="0"/>
                <w:sz w:val="21"/>
                <w:szCs w:val="21"/>
                <w:highlight w:val="none"/>
                <w:lang w:val="en-US" w:eastAsia="zh-CN"/>
              </w:rPr>
              <w:t>；</w:t>
            </w:r>
          </w:p>
          <w:p w14:paraId="3C01131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、支持IPv4/IPv6双栈安全控制策略，支持IPv6安全控制策略设置，能针对IPv6的目的/源地址、目的/源服务端口、区域、服务、时间、扩展头属性等条件进行安全访问规则的设置</w:t>
            </w:r>
            <w:r>
              <w:rPr>
                <w:rFonts w:hint="eastAsia" w:cs="宋体"/>
                <w:b w:val="0"/>
                <w:bCs w:val="0"/>
                <w:sz w:val="21"/>
                <w:szCs w:val="21"/>
                <w:highlight w:val="none"/>
                <w:lang w:val="en-US" w:eastAsia="zh-CN"/>
              </w:rPr>
              <w:t>；</w:t>
            </w:r>
          </w:p>
          <w:p w14:paraId="70F7C9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具有恶意代码防护引擎，能够对各种协议传输的恶意代码进行监测；具备恶意网站库，能够根据分类对恶意网站进行过滤；能够拦截带有恶意代码的HTTP访问和电子邮件收发；具备恶意加密流量检测功能，可自动添加恶意加密流量的阻断策略，防火墙上可以产生相应的访问控制日志</w:t>
            </w:r>
            <w:r>
              <w:rPr>
                <w:rFonts w:hint="eastAsia" w:cs="宋体"/>
                <w:b w:val="0"/>
                <w:bCs w:val="0"/>
                <w:sz w:val="21"/>
                <w:szCs w:val="21"/>
                <w:highlight w:val="none"/>
                <w:lang w:val="en-US" w:eastAsia="zh-CN"/>
              </w:rPr>
              <w:t>；</w:t>
            </w:r>
          </w:p>
          <w:p w14:paraId="4B7794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、支持配置文件本地备份和回滚，支持≥3个配置文件备份，支持配置定时保存，支持配置导入及明文/密文导出，支持对访问控制策略</w:t>
            </w:r>
            <w:r>
              <w:rPr>
                <w:rFonts w:hint="eastAsia" w:cs="宋体"/>
                <w:b w:val="0"/>
                <w:bCs w:val="0"/>
                <w:sz w:val="21"/>
                <w:szCs w:val="21"/>
                <w:highlight w:val="none"/>
                <w:lang w:val="en-US" w:eastAsia="zh-CN"/>
              </w:rPr>
              <w:t>；</w:t>
            </w:r>
          </w:p>
          <w:p w14:paraId="427DC4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功能三（基线核查）：</w:t>
            </w:r>
          </w:p>
          <w:p w14:paraId="7AE4A2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★1、标准2U机架式设备，双电源，千兆电口≥6个，千兆光口≥4个，硬盘≥2T，支持最大并发扫描主机数≥120个，IP、域名扫描数量无限制；</w:t>
            </w:r>
          </w:p>
          <w:p w14:paraId="77151D7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2、漏洞库数量≥30万个，兼容CVE、CNVD、CNNVD、CWE、Bugtrap、微软KB等主流漏洞标准，并提供CNNVD兼容性证明，其中自研PoC漏洞数量 5000+；</w:t>
            </w:r>
          </w:p>
          <w:p w14:paraId="18CFB5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3、支持自定义漏洞PoC功能，自定义内容包括但不限于漏洞名称、漏洞等级、漏洞类型、漏洞危害、CVSS信息、检测脚本等，用于日常突发漏洞应急；</w:t>
            </w:r>
          </w:p>
          <w:p w14:paraId="5FA7292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4、支持针对系统漏洞扫描功能，包含但不限于操作系统、数据库、应用软件、网络设备、安全设备、移动设备等；</w:t>
            </w:r>
          </w:p>
          <w:p w14:paraId="73F126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5、支持Web漏洞检查能力，包括但不限于SQL注入、XSS、CSRF、反序列化、LDAP注入、XPath注入、文件上传、水平权限绕过、信息泄露等；</w:t>
            </w:r>
          </w:p>
          <w:p w14:paraId="379181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6、具备Web应用被动扫描能力，通过代理监听Web应用运行状态，自动识别和发现漏洞；</w:t>
            </w:r>
          </w:p>
          <w:p w14:paraId="474ABE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7、支持全局视角分析漏洞状态，包括漏洞的新增分析、漏洞修复分析、资产运行状况分析、资产数据统计分析、资产风险等级分析、风险组织单位分析、业务系统漏洞排名分析、漏洞等级、弱口令漏洞排名分析；</w:t>
            </w:r>
            <w:r>
              <w:rPr>
                <w:rFonts w:hint="eastAsia" w:cs="宋体"/>
                <w:b/>
                <w:bCs/>
                <w:sz w:val="21"/>
                <w:szCs w:val="21"/>
                <w:highlight w:val="none"/>
                <w:lang w:val="en-US" w:eastAsia="zh-CN"/>
              </w:rPr>
              <w:t>（投标文件中须提供功能截图）</w:t>
            </w:r>
          </w:p>
          <w:p w14:paraId="26B111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★8、支持盲打平台反连配置，fastjson、SSRF、log4j、代理未授权等需要反向连接确定的漏洞；</w:t>
            </w:r>
            <w:r>
              <w:rPr>
                <w:rFonts w:hint="eastAsia" w:cs="宋体"/>
                <w:b/>
                <w:bCs/>
                <w:sz w:val="21"/>
                <w:szCs w:val="21"/>
                <w:highlight w:val="none"/>
                <w:lang w:val="en-US" w:eastAsia="zh-CN"/>
              </w:rPr>
              <w:t>（投标文件中须提供功能截图）</w:t>
            </w:r>
          </w:p>
          <w:p w14:paraId="01880D7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9、提供基线管理功能，内置扫描任务报表、基线检查报表、资产报表、漏洞报表、对比报表和自定义报表模板；支持Word、Excel、HTML、PDF、JSON等多种格式报表导出；</w:t>
            </w:r>
          </w:p>
          <w:p w14:paraId="29CFB6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10、通过周期性的监控，持续对网站的文本内容进行检测，以保障网站的安全性和合规性。一旦检测到敏感关键字的存在，则发出告警；</w:t>
            </w:r>
          </w:p>
          <w:p w14:paraId="497846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11、提供主机扫描（主动）扫描策略，包含主机资产发现模块、系统漏洞检测模块、系统漏洞库、基础服务漏洞扫描策略；</w:t>
            </w:r>
          </w:p>
          <w:p w14:paraId="7215FC6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12、Web扫描(主动)扫描策略，包含爬虫引擎、Web漏洞检测模块、Web漏洞库、基础Web漏洞扫描策略；</w:t>
            </w:r>
          </w:p>
          <w:p w14:paraId="31889EF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功能四（行为管理）：</w:t>
            </w:r>
          </w:p>
          <w:p w14:paraId="2F642B9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标准2U机架设备，</w:t>
            </w:r>
            <w:r>
              <w:rPr>
                <w:rFonts w:hint="eastAsia" w:cs="宋体"/>
                <w:b w:val="0"/>
                <w:bCs w:val="0"/>
                <w:sz w:val="21"/>
                <w:szCs w:val="21"/>
                <w:highlight w:val="none"/>
                <w:lang w:val="en-US" w:eastAsia="zh-CN"/>
              </w:rPr>
              <w:t>整机提供</w:t>
            </w:r>
            <w:r>
              <w:rPr>
                <w:rFonts w:hint="eastAsia" w:ascii="宋体" w:hAnsi="宋体" w:eastAsia="宋体" w:cs="宋体"/>
                <w:b w:val="0"/>
                <w:bCs w:val="0"/>
                <w:sz w:val="21"/>
                <w:szCs w:val="21"/>
                <w:highlight w:val="none"/>
                <w:lang w:val="en-US" w:eastAsia="zh-CN"/>
              </w:rPr>
              <w:t>千兆电口≥4</w:t>
            </w:r>
            <w:r>
              <w:rPr>
                <w:rFonts w:hint="eastAsia" w:cs="宋体"/>
                <w:b w:val="0"/>
                <w:bCs w:val="0"/>
                <w:sz w:val="21"/>
                <w:szCs w:val="21"/>
                <w:highlight w:val="none"/>
                <w:lang w:val="en-US" w:eastAsia="zh-CN"/>
              </w:rPr>
              <w:t>个</w:t>
            </w:r>
            <w:r>
              <w:rPr>
                <w:rFonts w:hint="eastAsia" w:ascii="宋体" w:hAnsi="宋体" w:eastAsia="宋体" w:cs="宋体"/>
                <w:b w:val="0"/>
                <w:bCs w:val="0"/>
                <w:sz w:val="21"/>
                <w:szCs w:val="21"/>
                <w:highlight w:val="none"/>
                <w:lang w:val="en-US" w:eastAsia="zh-CN"/>
              </w:rPr>
              <w:t>、千兆光口SFP</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4</w:t>
            </w:r>
            <w:r>
              <w:rPr>
                <w:rFonts w:hint="eastAsia" w:cs="宋体"/>
                <w:b w:val="0"/>
                <w:bCs w:val="0"/>
                <w:sz w:val="21"/>
                <w:szCs w:val="21"/>
                <w:highlight w:val="none"/>
                <w:lang w:val="en-US" w:eastAsia="zh-CN"/>
              </w:rPr>
              <w:t>个</w:t>
            </w:r>
            <w:r>
              <w:rPr>
                <w:rFonts w:hint="eastAsia" w:ascii="宋体" w:hAnsi="宋体" w:eastAsia="宋体" w:cs="宋体"/>
                <w:b w:val="0"/>
                <w:bCs w:val="0"/>
                <w:sz w:val="21"/>
                <w:szCs w:val="21"/>
                <w:highlight w:val="none"/>
                <w:lang w:val="en-US" w:eastAsia="zh-CN"/>
              </w:rPr>
              <w:t>、万兆光口SFP+</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2</w:t>
            </w:r>
            <w:r>
              <w:rPr>
                <w:rFonts w:hint="eastAsia" w:cs="宋体"/>
                <w:b w:val="0"/>
                <w:bCs w:val="0"/>
                <w:sz w:val="21"/>
                <w:szCs w:val="21"/>
                <w:highlight w:val="none"/>
                <w:lang w:val="en-US" w:eastAsia="zh-CN"/>
              </w:rPr>
              <w:t>个，</w:t>
            </w:r>
            <w:r>
              <w:rPr>
                <w:rFonts w:hint="eastAsia" w:ascii="宋体" w:hAnsi="宋体" w:eastAsia="宋体" w:cs="宋体"/>
                <w:b w:val="0"/>
                <w:bCs w:val="0"/>
                <w:sz w:val="21"/>
                <w:szCs w:val="21"/>
                <w:highlight w:val="none"/>
                <w:lang w:val="en-US" w:eastAsia="zh-CN"/>
              </w:rPr>
              <w:t>配置冗余电源</w:t>
            </w:r>
            <w:r>
              <w:rPr>
                <w:rFonts w:hint="eastAsia" w:cs="宋体"/>
                <w:b w:val="0"/>
                <w:bCs w:val="0"/>
                <w:sz w:val="21"/>
                <w:szCs w:val="21"/>
                <w:highlight w:val="none"/>
                <w:lang w:val="en-US" w:eastAsia="zh-CN"/>
              </w:rPr>
              <w:t>；</w:t>
            </w:r>
          </w:p>
          <w:p w14:paraId="1243E1E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网络层吞吐量≥20Gb，应用层吞吐量≥9Gb，支持用户数≥50000，包转发率≥1Mpps，每秒新建连接数≥50000，最大并发连接数≥3200000</w:t>
            </w:r>
            <w:r>
              <w:rPr>
                <w:rFonts w:hint="eastAsia" w:cs="宋体"/>
                <w:b w:val="0"/>
                <w:bCs w:val="0"/>
                <w:sz w:val="21"/>
                <w:szCs w:val="21"/>
                <w:highlight w:val="none"/>
                <w:lang w:val="en-US" w:eastAsia="zh-CN"/>
              </w:rPr>
              <w:t>；</w:t>
            </w:r>
          </w:p>
          <w:p w14:paraId="05B83B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支持路由模式（NAT、路由转发、DHCP、GRE、OSPF）、网桥模式（多路桥接模式）、旁路模式</w:t>
            </w:r>
            <w:r>
              <w:rPr>
                <w:rFonts w:hint="eastAsia" w:cs="宋体"/>
                <w:b w:val="0"/>
                <w:bCs w:val="0"/>
                <w:sz w:val="21"/>
                <w:szCs w:val="21"/>
                <w:highlight w:val="none"/>
                <w:lang w:val="en-US" w:eastAsia="zh-CN"/>
              </w:rPr>
              <w:t>；</w:t>
            </w:r>
          </w:p>
          <w:p w14:paraId="38E4184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可设置四类管理员，分别为系统管理员、安全管理员、审计管理员，以及多种权限的超级管理员；管理员支持分级，高级别管理员的策略配置优先生效，并可修改低级管理员的策略</w:t>
            </w:r>
            <w:r>
              <w:rPr>
                <w:rFonts w:hint="eastAsia" w:cs="宋体"/>
                <w:b w:val="0"/>
                <w:bCs w:val="0"/>
                <w:sz w:val="21"/>
                <w:szCs w:val="21"/>
                <w:highlight w:val="none"/>
                <w:lang w:val="en-US" w:eastAsia="zh-CN"/>
              </w:rPr>
              <w:t>；</w:t>
            </w:r>
          </w:p>
          <w:p w14:paraId="5F36448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r>
              <w:rPr>
                <w:rFonts w:hint="eastAsia"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支持网络故障排查，支持PPS异常、丢包异常、ARP异常、内网DOS攻击等异常情况实时监测，显示每日异常事件个数及情况；提供图形化排障工具，便于管理员排查策略错误等故障;支持针对用户认证的故障进行分析，给出错误详情以及处置建议</w:t>
            </w:r>
            <w:r>
              <w:rPr>
                <w:rFonts w:hint="eastAsia" w:cs="宋体"/>
                <w:b w:val="0"/>
                <w:bCs w:val="0"/>
                <w:sz w:val="21"/>
                <w:szCs w:val="21"/>
                <w:highlight w:val="none"/>
                <w:lang w:val="en-US" w:eastAsia="zh-CN"/>
              </w:rPr>
              <w:t>；</w:t>
            </w:r>
            <w:r>
              <w:rPr>
                <w:rFonts w:hint="eastAsia" w:ascii="宋体" w:hAnsi="宋体" w:eastAsia="宋体" w:cs="宋体"/>
                <w:b/>
                <w:bCs/>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p>
          <w:p w14:paraId="0306D68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支持从本地导入和扫描导入，支持以CSV格式文件导入帐户/分组/IP/MAC/描述/密码等信息；用户分组支持树形结构，支持父组、子组、组内套组等</w:t>
            </w:r>
            <w:r>
              <w:rPr>
                <w:rFonts w:hint="eastAsia" w:cs="宋体"/>
                <w:b w:val="0"/>
                <w:bCs w:val="0"/>
                <w:sz w:val="21"/>
                <w:szCs w:val="21"/>
                <w:highlight w:val="none"/>
                <w:lang w:val="en-US" w:eastAsia="zh-CN"/>
              </w:rPr>
              <w:t>；</w:t>
            </w:r>
          </w:p>
          <w:p w14:paraId="4144DB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支持代理控制功能，不允许使用外部HTTP代理，不允许使用外部SOCKS4/5代理，不允许在HTTP，SSL一些的标准端口上使用其他协议</w:t>
            </w:r>
            <w:r>
              <w:rPr>
                <w:rFonts w:hint="eastAsia" w:cs="宋体"/>
                <w:b w:val="0"/>
                <w:bCs w:val="0"/>
                <w:sz w:val="21"/>
                <w:szCs w:val="21"/>
                <w:highlight w:val="none"/>
                <w:lang w:val="en-US" w:eastAsia="zh-CN"/>
              </w:rPr>
              <w:t>；</w:t>
            </w:r>
          </w:p>
          <w:p w14:paraId="3FFD354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支持根据IP、端口、协议等自定义应用规则；支持根据端口设定用户不允许访问的目标IP组提供的服务；支持根据不同的应用类型或具体的某种应用设置允许或拒绝</w:t>
            </w:r>
            <w:r>
              <w:rPr>
                <w:rFonts w:hint="eastAsia" w:cs="宋体"/>
                <w:b w:val="0"/>
                <w:bCs w:val="0"/>
                <w:sz w:val="21"/>
                <w:szCs w:val="21"/>
                <w:highlight w:val="none"/>
                <w:lang w:val="en-US" w:eastAsia="zh-CN"/>
              </w:rPr>
              <w:t>；</w:t>
            </w:r>
          </w:p>
          <w:p w14:paraId="21CA8EB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9、</w:t>
            </w:r>
            <w:r>
              <w:rPr>
                <w:rFonts w:hint="eastAsia" w:ascii="宋体" w:hAnsi="宋体" w:eastAsia="宋体" w:cs="宋体"/>
                <w:b w:val="0"/>
                <w:bCs w:val="0"/>
                <w:sz w:val="21"/>
                <w:szCs w:val="21"/>
                <w:highlight w:val="none"/>
                <w:lang w:val="en-US" w:eastAsia="zh-CN"/>
              </w:rPr>
              <w:t>支持SSL中间人解密和客户端解密，确保数据传输的透明性与安全性，客户端会自动推送根证书安装，支持记录全部或者指定类别URL、网页标题、网页内容等信息，支持网页内容审计后的网页快照功能</w:t>
            </w:r>
            <w:r>
              <w:rPr>
                <w:rFonts w:hint="eastAsia" w:cs="宋体"/>
                <w:b w:val="0"/>
                <w:bCs w:val="0"/>
                <w:sz w:val="21"/>
                <w:szCs w:val="21"/>
                <w:highlight w:val="none"/>
                <w:lang w:val="en-US" w:eastAsia="zh-CN"/>
              </w:rPr>
              <w:t>；</w:t>
            </w:r>
          </w:p>
          <w:p w14:paraId="60C3B4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10、</w:t>
            </w:r>
            <w:r>
              <w:rPr>
                <w:rFonts w:hint="eastAsia" w:ascii="宋体" w:hAnsi="宋体" w:eastAsia="宋体" w:cs="宋体"/>
                <w:b w:val="0"/>
                <w:bCs w:val="0"/>
                <w:sz w:val="21"/>
                <w:szCs w:val="21"/>
                <w:highlight w:val="none"/>
                <w:lang w:val="en-US" w:eastAsia="zh-CN"/>
              </w:rPr>
              <w:t>支持基于用户组、位置、终端类型、URL类型配置流量管控策略，支持基于IP或用户名灵活配置流控单位</w:t>
            </w:r>
            <w:r>
              <w:rPr>
                <w:rFonts w:hint="eastAsia" w:cs="宋体"/>
                <w:b w:val="0"/>
                <w:bCs w:val="0"/>
                <w:sz w:val="21"/>
                <w:szCs w:val="21"/>
                <w:highlight w:val="none"/>
                <w:lang w:val="en-US" w:eastAsia="zh-CN"/>
              </w:rPr>
              <w:t>；</w:t>
            </w:r>
          </w:p>
          <w:p w14:paraId="7E94522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提供Web访问质量检测功能，针对内网用户的web访问质量进行检测，对整体网络提供清晰的整体网络质量评级；</w:t>
            </w:r>
            <w:r>
              <w:rPr>
                <w:rFonts w:hint="eastAsia" w:ascii="宋体" w:hAnsi="宋体" w:eastAsia="宋体" w:cs="宋体"/>
                <w:b/>
                <w:bCs/>
                <w:sz w:val="21"/>
                <w:szCs w:val="21"/>
                <w:highlight w:val="none"/>
                <w:lang w:val="en-US" w:eastAsia="zh-CN"/>
              </w:rPr>
              <w:t>（</w:t>
            </w:r>
            <w:r>
              <w:rPr>
                <w:rFonts w:hint="eastAsia" w:cs="宋体"/>
                <w:b/>
                <w:bCs/>
                <w:sz w:val="21"/>
                <w:szCs w:val="21"/>
                <w:highlight w:val="none"/>
                <w:lang w:val="en-US" w:eastAsia="zh-CN"/>
              </w:rPr>
              <w:t>投标文件中须</w:t>
            </w:r>
            <w:r>
              <w:rPr>
                <w:rFonts w:hint="eastAsia" w:ascii="宋体" w:hAnsi="宋体" w:eastAsia="宋体" w:cs="宋体"/>
                <w:b/>
                <w:bCs/>
                <w:sz w:val="21"/>
                <w:szCs w:val="21"/>
                <w:highlight w:val="none"/>
                <w:lang w:val="en-US" w:eastAsia="zh-CN"/>
              </w:rPr>
              <w:t>提供产品功能截图）</w:t>
            </w:r>
          </w:p>
          <w:p w14:paraId="0BCDA7C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支持在设置流量策略后，根据整体线路或者某流量通道内的空闲情况，自动启用和停止使用流量控制策略，以提升带宽的高使用率</w:t>
            </w:r>
            <w:r>
              <w:rPr>
                <w:rFonts w:hint="eastAsia"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空闲值可自定义</w:t>
            </w:r>
            <w:r>
              <w:rPr>
                <w:rFonts w:hint="eastAsia" w:cs="宋体"/>
                <w:b w:val="0"/>
                <w:bCs w:val="0"/>
                <w:sz w:val="21"/>
                <w:szCs w:val="21"/>
                <w:highlight w:val="none"/>
                <w:lang w:val="en-US" w:eastAsia="zh-CN"/>
              </w:rPr>
              <w:t>；</w:t>
            </w:r>
          </w:p>
          <w:p w14:paraId="46DCCE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val="0"/>
                <w:bCs w:val="0"/>
                <w:sz w:val="21"/>
                <w:szCs w:val="21"/>
                <w:highlight w:val="none"/>
                <w:lang w:val="en-US" w:eastAsia="zh-CN"/>
              </w:rPr>
              <w:t>13、提供原厂商5年质保及特征库升级服务。</w:t>
            </w:r>
          </w:p>
          <w:p w14:paraId="26042EB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功能五（WAF）：</w:t>
            </w:r>
          </w:p>
          <w:p w14:paraId="118C939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★1、标准2U机架式设备，CPU≥6核，内存≥32G，固态硬盘≥128G，机械硬盘≥2T，，USB接口≥2个，RJ45串口≥1个，GE管理口≥2个，GE业务口≥10个（含5组bypass），10GE业务口≥2个（bypass，满配光模块），冗余电源；</w:t>
            </w:r>
          </w:p>
          <w:p w14:paraId="2297FFA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2、整机吞吐量≥30G，每秒连接数≥1.4W，并发连接数≥500W；</w:t>
            </w:r>
          </w:p>
          <w:p w14:paraId="4070E38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3、具备HTTP/1.X、HTTP/2和HTTPS报文解码能力，可对攻击者编码绕过行为进行有效识别。解码能力包括但不限于：HTML解码、Unicode解码、十六进制转换、斜杠反转义、二进制解码等不少于10种，能对10层的嵌套编码绕过行为进行有效检测与防护；</w:t>
            </w:r>
          </w:p>
          <w:p w14:paraId="23AD317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r>
              <w:rPr>
                <w:rFonts w:hint="eastAsia" w:cs="宋体"/>
                <w:b w:val="0"/>
                <w:bCs w:val="0"/>
                <w:sz w:val="21"/>
                <w:szCs w:val="21"/>
                <w:highlight w:val="none"/>
                <w:lang w:val="en-US" w:eastAsia="zh-CN"/>
              </w:rPr>
              <w:t>4、无需规则配置，可通过语义分析技术识别OWASP TOP 10所公布的WEB应用程序安全风险，如SQL注入、XSS、PHP反序列化、Java反序列化、PHP代码注入、Java代码注入、命令注入、CSRF、SSRF、ASP代码注入、模版注入、文件包含、文件上传等13种常见攻击类型，可根据攻击语法特征，智能生成攻击威胁等级；</w:t>
            </w:r>
            <w:r>
              <w:rPr>
                <w:rFonts w:hint="eastAsia" w:cs="宋体"/>
                <w:b/>
                <w:bCs/>
                <w:sz w:val="21"/>
                <w:szCs w:val="21"/>
                <w:highlight w:val="none"/>
                <w:lang w:val="en-US" w:eastAsia="zh-CN"/>
              </w:rPr>
              <w:t>（投标文件中须提供产品功能截图）</w:t>
            </w:r>
          </w:p>
          <w:p w14:paraId="058E8A2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5、检测引擎支持自动区分注入型/非注入型攻击，可自动放行非注入型SQL、XSS等，避免业务请求包含完整SQL语言从而导致WAF大量误报；</w:t>
            </w:r>
          </w:p>
          <w:p w14:paraId="20D49AD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6、支持对性质可疑的复杂攻击进行多维度关联攻击验证，支持同一时刻平行检查，可对攻击按照规则进行穷举遍历匹配，并在攻击检测日志中完整记录请求命中的所有攻击检测信息，有效阻止多阶段、隐匿性Web攻击；</w:t>
            </w:r>
          </w:p>
          <w:p w14:paraId="3C9D1DB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7、支持自定义规则检测前对请求进行解码，解码类型包括：Base64解码、十六进制解码等不少于5种，可根据业务系统编码类型进行配置，快速实现新爆发漏洞的防护；</w:t>
            </w:r>
          </w:p>
          <w:p w14:paraId="38BE322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8、支持CC攻击防护，可通过限制IP、Session和用户指纹实现对异常访问行为的限制，限制时间及限制路径可灵活定义；</w:t>
            </w:r>
          </w:p>
          <w:p w14:paraId="10F4D8D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9、支持自定义拦截状态码和阻断页面，可以根据不同的状态码响应不同的阻断页面，便于安全人员基于业务场景精细化配置拦截页面；</w:t>
            </w:r>
          </w:p>
          <w:p w14:paraId="094606A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10、支持误报消除功能，可在日志告警界面一键添加例外白名单，自动在后续检测中消除同类型误报，避免人为输入错误；</w:t>
            </w:r>
          </w:p>
          <w:p w14:paraId="4DD5DE7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11、具备0day漏洞防护能力，能够自动检测攻击特征，实现告警和拦截，可提供实际防护案例说明及原理说明；</w:t>
            </w:r>
          </w:p>
          <w:p w14:paraId="7A52E2B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12、支持WAF能力原子化可编排，支持可视化显示WAF检测流程，可在不同的检测点直接插入业务规则，可按照业务场景自动调整检测流程，满足业务差异化防护需求；</w:t>
            </w:r>
          </w:p>
          <w:p w14:paraId="731E3B0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宋体"/>
                <w:b w:val="0"/>
                <w:bCs w:val="0"/>
                <w:sz w:val="21"/>
                <w:szCs w:val="21"/>
                <w:highlight w:val="none"/>
                <w:lang w:val="en-US" w:eastAsia="zh-CN"/>
              </w:rPr>
            </w:pPr>
            <w:r>
              <w:rPr>
                <w:rFonts w:hint="eastAsia" w:cs="宋体"/>
                <w:b w:val="0"/>
                <w:bCs w:val="0"/>
                <w:sz w:val="21"/>
                <w:szCs w:val="21"/>
                <w:highlight w:val="none"/>
                <w:lang w:val="en-US" w:eastAsia="zh-CN"/>
              </w:rPr>
              <w:t>13、支持对记录并存储全量访问日志，并可通过Syslog外发，便于安全管理员分析异常事件；</w:t>
            </w:r>
            <w:r>
              <w:rPr>
                <w:rFonts w:hint="eastAsia" w:cs="宋体"/>
                <w:b/>
                <w:bCs/>
                <w:sz w:val="21"/>
                <w:szCs w:val="21"/>
                <w:highlight w:val="none"/>
                <w:lang w:val="en-US" w:eastAsia="zh-CN"/>
              </w:rPr>
              <w:t>（投标文件中须提供产品功能截图）</w:t>
            </w:r>
          </w:p>
          <w:p w14:paraId="66DA49C6">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b w:val="0"/>
                <w:bCs w:val="0"/>
                <w:sz w:val="21"/>
                <w:szCs w:val="21"/>
                <w:highlight w:val="none"/>
                <w:lang w:val="en-US" w:eastAsia="zh-CN"/>
              </w:rPr>
            </w:pPr>
            <w:r>
              <w:rPr>
                <w:rFonts w:hint="eastAsia" w:cs="宋体"/>
                <w:b w:val="0"/>
                <w:bCs w:val="0"/>
                <w:sz w:val="21"/>
                <w:szCs w:val="21"/>
                <w:highlight w:val="none"/>
                <w:lang w:val="en-US" w:eastAsia="zh-CN"/>
              </w:rPr>
              <w:t>★以上所有功能需提供原厂商5年质保及相关服务升级服务。</w:t>
            </w:r>
          </w:p>
        </w:tc>
        <w:tc>
          <w:tcPr>
            <w:tcW w:w="538" w:type="pct"/>
            <w:noWrap w:val="0"/>
            <w:vAlign w:val="center"/>
          </w:tcPr>
          <w:p w14:paraId="494266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s="宋体"/>
                <w:sz w:val="21"/>
                <w:szCs w:val="21"/>
                <w:highlight w:val="none"/>
                <w:lang w:val="en-US" w:eastAsia="zh-CN"/>
              </w:rPr>
            </w:pPr>
            <w:r>
              <w:rPr>
                <w:rFonts w:hint="eastAsia" w:cs="宋体"/>
                <w:sz w:val="21"/>
                <w:szCs w:val="21"/>
                <w:highlight w:val="none"/>
                <w:lang w:val="en-US" w:eastAsia="zh-CN"/>
              </w:rPr>
              <w:t>1套</w:t>
            </w:r>
          </w:p>
        </w:tc>
        <w:tc>
          <w:tcPr>
            <w:tcW w:w="401" w:type="pct"/>
            <w:noWrap w:val="0"/>
            <w:vAlign w:val="center"/>
          </w:tcPr>
          <w:p w14:paraId="4E1C75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工业</w:t>
            </w:r>
          </w:p>
        </w:tc>
        <w:tc>
          <w:tcPr>
            <w:tcW w:w="351" w:type="pct"/>
            <w:noWrap w:val="0"/>
            <w:vAlign w:val="center"/>
          </w:tcPr>
          <w:p w14:paraId="16708B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highlight w:val="none"/>
              </w:rPr>
            </w:pPr>
          </w:p>
        </w:tc>
      </w:tr>
    </w:tbl>
    <w:p w14:paraId="1DE2F114">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4588B8B6">
      <w:pPr>
        <w:bidi w:val="0"/>
        <w:ind w:left="0" w:leftChars="0" w:firstLine="0" w:firstLineChars="0"/>
        <w:outlineLvl w:val="0"/>
        <w:rPr>
          <w:rFonts w:hint="default" w:ascii="宋体" w:hAnsi="宋体" w:eastAsia="宋体" w:cs="宋体"/>
          <w:sz w:val="24"/>
          <w:szCs w:val="24"/>
          <w:lang w:val="en-US"/>
        </w:rPr>
      </w:pPr>
      <w:r>
        <w:rPr>
          <w:rFonts w:hint="eastAsia" w:cs="宋体"/>
          <w:b/>
          <w:bCs/>
          <w:sz w:val="24"/>
          <w:szCs w:val="24"/>
          <w:lang w:val="en-US" w:eastAsia="zh-CN"/>
        </w:rPr>
        <w:t>四</w:t>
      </w:r>
      <w:r>
        <w:rPr>
          <w:rFonts w:hint="eastAsia" w:ascii="宋体" w:hAnsi="宋体" w:eastAsia="宋体" w:cs="宋体"/>
          <w:b/>
          <w:bCs/>
          <w:sz w:val="24"/>
          <w:szCs w:val="24"/>
          <w:lang w:val="en-US" w:eastAsia="zh-CN"/>
        </w:rPr>
        <w:t>、</w:t>
      </w:r>
      <w:r>
        <w:rPr>
          <w:rFonts w:hint="eastAsia" w:cs="宋体"/>
          <w:b/>
          <w:bCs/>
          <w:sz w:val="24"/>
          <w:szCs w:val="24"/>
          <w:lang w:val="en-US" w:eastAsia="zh-CN"/>
        </w:rPr>
        <w:t>评分办法</w:t>
      </w:r>
    </w:p>
    <w:tbl>
      <w:tblPr>
        <w:tblStyle w:val="10"/>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538"/>
        <w:gridCol w:w="6733"/>
        <w:gridCol w:w="1032"/>
      </w:tblGrid>
      <w:tr w14:paraId="7B0B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04480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类别</w:t>
            </w:r>
          </w:p>
        </w:tc>
        <w:tc>
          <w:tcPr>
            <w:tcW w:w="1538" w:type="dxa"/>
            <w:tcBorders>
              <w:top w:val="single" w:color="auto" w:sz="4" w:space="0"/>
              <w:left w:val="single" w:color="auto" w:sz="4" w:space="0"/>
              <w:bottom w:val="single" w:color="auto" w:sz="4" w:space="0"/>
              <w:right w:val="single" w:color="auto" w:sz="4" w:space="0"/>
            </w:tcBorders>
            <w:vAlign w:val="center"/>
          </w:tcPr>
          <w:p w14:paraId="7CE205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评分内容</w:t>
            </w:r>
          </w:p>
        </w:tc>
        <w:tc>
          <w:tcPr>
            <w:tcW w:w="6733" w:type="dxa"/>
            <w:tcBorders>
              <w:top w:val="single" w:color="auto" w:sz="4" w:space="0"/>
              <w:left w:val="single" w:color="auto" w:sz="4" w:space="0"/>
              <w:bottom w:val="single" w:color="auto" w:sz="4" w:space="0"/>
              <w:right w:val="single" w:color="auto" w:sz="4" w:space="0"/>
            </w:tcBorders>
            <w:vAlign w:val="center"/>
          </w:tcPr>
          <w:p w14:paraId="77703A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14:paraId="388142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分值范围</w:t>
            </w:r>
          </w:p>
        </w:tc>
      </w:tr>
      <w:tr w14:paraId="69CE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restart"/>
            <w:tcBorders>
              <w:top w:val="single" w:color="auto" w:sz="4" w:space="0"/>
              <w:left w:val="single" w:color="auto" w:sz="4" w:space="0"/>
              <w:right w:val="single" w:color="auto" w:sz="4" w:space="0"/>
            </w:tcBorders>
            <w:vAlign w:val="center"/>
          </w:tcPr>
          <w:p w14:paraId="2F66A0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技术资信分</w:t>
            </w:r>
          </w:p>
          <w:p w14:paraId="167D3F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（70分）</w:t>
            </w:r>
          </w:p>
        </w:tc>
        <w:tc>
          <w:tcPr>
            <w:tcW w:w="1538" w:type="dxa"/>
            <w:tcBorders>
              <w:top w:val="single" w:color="auto" w:sz="4" w:space="0"/>
              <w:left w:val="single" w:color="auto" w:sz="4" w:space="0"/>
              <w:bottom w:val="single" w:color="auto" w:sz="4" w:space="0"/>
              <w:right w:val="single" w:color="auto" w:sz="4" w:space="0"/>
            </w:tcBorders>
            <w:vAlign w:val="center"/>
          </w:tcPr>
          <w:p w14:paraId="0F751C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所投产品技术参数及要求响应情况</w:t>
            </w:r>
          </w:p>
        </w:tc>
        <w:tc>
          <w:tcPr>
            <w:tcW w:w="6733" w:type="dxa"/>
            <w:tcBorders>
              <w:top w:val="single" w:color="auto" w:sz="4" w:space="0"/>
              <w:left w:val="single" w:color="auto" w:sz="4" w:space="0"/>
              <w:bottom w:val="single" w:color="auto" w:sz="4" w:space="0"/>
              <w:right w:val="single" w:color="auto" w:sz="4" w:space="0"/>
            </w:tcBorders>
            <w:vAlign w:val="center"/>
          </w:tcPr>
          <w:p w14:paraId="23BD6C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根据投标人所投产品对招标文件技术参数及要求的响应情况进行综合评分：</w:t>
            </w:r>
          </w:p>
          <w:p w14:paraId="508A137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1、标注“★”的技术参数及要求，每满足或优于一项，得</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分，共1</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项，满分30分；</w:t>
            </w:r>
          </w:p>
          <w:p w14:paraId="0DA1B38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2、标注“</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”的技术参数及要求，每满足或优于一项，得</w:t>
            </w: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分，共</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项，满分10分；</w:t>
            </w:r>
          </w:p>
          <w:p w14:paraId="106ED58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3、无标识项的技术参数及要求，有3条及以上不满足要求的，将导致投标无效。</w:t>
            </w:r>
          </w:p>
          <w:p w14:paraId="6363B9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注：以投标响应表和“技术参数及要求”中要求提供的证明材料作为评审依据。</w:t>
            </w:r>
          </w:p>
          <w:p w14:paraId="352415B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合同签订前中标人须根据采购人要求对招标产品要求响应情况逐条测试，如发现虚假响应的，采购人有权终止合同采购，并报相关部门依规处理。</w:t>
            </w:r>
          </w:p>
        </w:tc>
        <w:tc>
          <w:tcPr>
            <w:tcW w:w="1032" w:type="dxa"/>
            <w:tcBorders>
              <w:top w:val="single" w:color="auto" w:sz="4" w:space="0"/>
              <w:left w:val="single" w:color="auto" w:sz="4" w:space="0"/>
              <w:bottom w:val="single" w:color="auto" w:sz="4" w:space="0"/>
              <w:right w:val="single" w:color="auto" w:sz="4" w:space="0"/>
            </w:tcBorders>
            <w:vAlign w:val="center"/>
          </w:tcPr>
          <w:p w14:paraId="3D57B3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0-40分</w:t>
            </w:r>
          </w:p>
        </w:tc>
      </w:tr>
      <w:tr w14:paraId="5556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left w:val="single" w:color="auto" w:sz="4" w:space="0"/>
              <w:right w:val="single" w:color="auto" w:sz="4" w:space="0"/>
            </w:tcBorders>
            <w:vAlign w:val="center"/>
          </w:tcPr>
          <w:p w14:paraId="2339C1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14:paraId="449841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安装调试及培训方案</w:t>
            </w:r>
          </w:p>
        </w:tc>
        <w:tc>
          <w:tcPr>
            <w:tcW w:w="6733" w:type="dxa"/>
            <w:tcBorders>
              <w:top w:val="single" w:color="auto" w:sz="4" w:space="0"/>
              <w:left w:val="single" w:color="auto" w:sz="4" w:space="0"/>
              <w:bottom w:val="single" w:color="auto" w:sz="4" w:space="0"/>
              <w:right w:val="single" w:color="auto" w:sz="4" w:space="0"/>
            </w:tcBorders>
            <w:vAlign w:val="center"/>
          </w:tcPr>
          <w:p w14:paraId="3CA90BF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由评标委员会根据投标人提供的实施方案及培训方案、安装施工质量保证及质量控制方及技术培训方案进行综合评分。</w:t>
            </w:r>
          </w:p>
          <w:p w14:paraId="46B7AAD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1、安装实施及技术培训计划周密、合理，调试仔细、确保设备正常使用，制定了具体可行的保证措施的，得5分；</w:t>
            </w:r>
          </w:p>
          <w:p w14:paraId="070BE4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2、安装实施及技术培训计划较为详实、实施各种风险考虑较为充分，能够满足采购人的实际需要的，得3分；</w:t>
            </w:r>
          </w:p>
          <w:p w14:paraId="5459D60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3、提供的方案内容较为简单，细节有待进一步完善的，得 1分；</w:t>
            </w:r>
          </w:p>
          <w:p w14:paraId="03B0D02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4、差或者未提供任何内容的不得分。</w:t>
            </w:r>
          </w:p>
        </w:tc>
        <w:tc>
          <w:tcPr>
            <w:tcW w:w="1032" w:type="dxa"/>
            <w:tcBorders>
              <w:top w:val="single" w:color="auto" w:sz="4" w:space="0"/>
              <w:left w:val="single" w:color="auto" w:sz="4" w:space="0"/>
              <w:bottom w:val="single" w:color="auto" w:sz="4" w:space="0"/>
              <w:right w:val="single" w:color="auto" w:sz="4" w:space="0"/>
            </w:tcBorders>
            <w:vAlign w:val="center"/>
          </w:tcPr>
          <w:p w14:paraId="2E8AF1E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0-5分</w:t>
            </w:r>
          </w:p>
        </w:tc>
      </w:tr>
      <w:tr w14:paraId="72B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left w:val="single" w:color="auto" w:sz="4" w:space="0"/>
              <w:right w:val="single" w:color="auto" w:sz="4" w:space="0"/>
            </w:tcBorders>
            <w:vAlign w:val="center"/>
          </w:tcPr>
          <w:p w14:paraId="4EB04CA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14:paraId="73A4D3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售后服务方案</w:t>
            </w:r>
          </w:p>
        </w:tc>
        <w:tc>
          <w:tcPr>
            <w:tcW w:w="6733" w:type="dxa"/>
            <w:tcBorders>
              <w:top w:val="single" w:color="auto" w:sz="4" w:space="0"/>
              <w:left w:val="single" w:color="auto" w:sz="4" w:space="0"/>
              <w:bottom w:val="single" w:color="auto" w:sz="4" w:space="0"/>
              <w:right w:val="single" w:color="auto" w:sz="4" w:space="0"/>
            </w:tcBorders>
            <w:vAlign w:val="center"/>
          </w:tcPr>
          <w:p w14:paraId="5BD92F3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由评标委员会根据投标人提供的售后服务方案进行综合评审：</w:t>
            </w:r>
          </w:p>
          <w:p w14:paraId="131149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1、售后服务体系科学、健全，故障响应时间、到场时间合理，人员培训措施得当，有利于项目顺利实施的，得5分；</w:t>
            </w:r>
          </w:p>
          <w:p w14:paraId="7AF780D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2、售后服务体系比较健全，故障响应时、到场时间基本合理，人员培训措施较为得当，对项目实施有一定积极作用的，得3分；</w:t>
            </w:r>
          </w:p>
          <w:p w14:paraId="7F656F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3、售后服务方案有待进一步细化提升的，得1分；</w:t>
            </w:r>
          </w:p>
          <w:p w14:paraId="0A8621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4、差或未提供任何内容不得分。</w:t>
            </w:r>
          </w:p>
        </w:tc>
        <w:tc>
          <w:tcPr>
            <w:tcW w:w="1032" w:type="dxa"/>
            <w:tcBorders>
              <w:top w:val="single" w:color="auto" w:sz="4" w:space="0"/>
              <w:left w:val="single" w:color="auto" w:sz="4" w:space="0"/>
              <w:bottom w:val="single" w:color="auto" w:sz="4" w:space="0"/>
              <w:right w:val="single" w:color="auto" w:sz="4" w:space="0"/>
            </w:tcBorders>
            <w:vAlign w:val="center"/>
          </w:tcPr>
          <w:p w14:paraId="45ECD9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0-5分</w:t>
            </w:r>
          </w:p>
        </w:tc>
      </w:tr>
      <w:tr w14:paraId="21AB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left w:val="single" w:color="auto" w:sz="4" w:space="0"/>
              <w:right w:val="single" w:color="auto" w:sz="4" w:space="0"/>
            </w:tcBorders>
            <w:vAlign w:val="center"/>
          </w:tcPr>
          <w:p w14:paraId="058D4E9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14:paraId="58D81B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w:t>
            </w:r>
            <w:r>
              <w:rPr>
                <w:rFonts w:hint="eastAsia" w:cs="宋体"/>
                <w:sz w:val="24"/>
                <w:szCs w:val="24"/>
                <w:highlight w:val="none"/>
                <w:lang w:val="en-US" w:eastAsia="zh-CN"/>
              </w:rPr>
              <w:t>认证</w:t>
            </w:r>
          </w:p>
        </w:tc>
        <w:tc>
          <w:tcPr>
            <w:tcW w:w="6733" w:type="dxa"/>
            <w:tcBorders>
              <w:top w:val="single" w:color="auto" w:sz="4" w:space="0"/>
              <w:left w:val="single" w:color="auto" w:sz="4" w:space="0"/>
              <w:bottom w:val="single" w:color="auto" w:sz="4" w:space="0"/>
              <w:right w:val="single" w:color="auto" w:sz="4" w:space="0"/>
            </w:tcBorders>
            <w:vAlign w:val="center"/>
          </w:tcPr>
          <w:p w14:paraId="1DDFC4F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1、投标人具有经中国国家认证认可监督管理委员会认可的认证机构颁发的有效期内的：质量管理体系认证、环境管理体系认证、职业健康安全管理体系认证证书的，得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分，缺一项不得分。</w:t>
            </w:r>
          </w:p>
          <w:p w14:paraId="2608C0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2、投标人具有经中国国家认证认可监督管理委员会认可的认证机构颁发的有效期内的：信息技术服务管理体系认证证书、信息安全管理体系认证证书的，每提供一个得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分，本小项满分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分。</w:t>
            </w:r>
          </w:p>
          <w:p w14:paraId="0323F957">
            <w:pPr>
              <w:keepNext w:val="0"/>
              <w:keepLines w:val="0"/>
              <w:pageBreakBefore w:val="0"/>
              <w:numPr>
                <w:ilvl w:val="0"/>
                <w:numId w:val="0"/>
              </w:numPr>
              <w:kinsoku/>
              <w:wordWrap/>
              <w:overflowPunct/>
              <w:topLinePunct w:val="0"/>
              <w:autoSpaceDE/>
              <w:autoSpaceDN/>
              <w:bidi w:val="0"/>
              <w:adjustRightInd w:val="0"/>
              <w:spacing w:line="360" w:lineRule="auto"/>
              <w:jc w:val="left"/>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3、</w:t>
            </w:r>
            <w:r>
              <w:rPr>
                <w:rFonts w:hint="eastAsia" w:ascii="宋体" w:hAnsi="宋体" w:eastAsia="宋体" w:cs="宋体"/>
                <w:kern w:val="0"/>
                <w:sz w:val="24"/>
                <w:szCs w:val="24"/>
                <w:highlight w:val="none"/>
                <w:lang w:val="en-US" w:eastAsia="zh-CN"/>
              </w:rPr>
              <w:t>投标人具有有效的</w:t>
            </w:r>
            <w:r>
              <w:rPr>
                <w:rFonts w:hint="eastAsia" w:ascii="宋体" w:hAnsi="宋体" w:eastAsia="宋体" w:cs="宋体"/>
                <w:kern w:val="0"/>
                <w:sz w:val="24"/>
                <w:szCs w:val="24"/>
                <w:highlight w:val="none"/>
              </w:rPr>
              <w:t>信息技术服务运行或维护类证书</w:t>
            </w:r>
            <w:r>
              <w:rPr>
                <w:rFonts w:hint="eastAsia" w:ascii="宋体" w:hAnsi="宋体" w:eastAsia="宋体" w:cs="宋体"/>
                <w:kern w:val="0"/>
                <w:sz w:val="24"/>
                <w:szCs w:val="24"/>
                <w:highlight w:val="none"/>
                <w:lang w:val="en-US" w:eastAsia="zh-CN"/>
              </w:rPr>
              <w:t>，得1分，满分1分；</w:t>
            </w:r>
          </w:p>
          <w:p w14:paraId="79A603F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en-US"/>
              </w:rPr>
              <w:t>注：投标文件中提供上述证书扫描件，其中第1-2项须同时提供全国认证认可信息公共服务平台官网证书信息查询截图。</w:t>
            </w:r>
          </w:p>
        </w:tc>
        <w:tc>
          <w:tcPr>
            <w:tcW w:w="1032" w:type="dxa"/>
            <w:tcBorders>
              <w:top w:val="single" w:color="auto" w:sz="4" w:space="0"/>
              <w:left w:val="single" w:color="auto" w:sz="4" w:space="0"/>
              <w:bottom w:val="single" w:color="auto" w:sz="4" w:space="0"/>
              <w:right w:val="single" w:color="auto" w:sz="4" w:space="0"/>
            </w:tcBorders>
            <w:vAlign w:val="center"/>
          </w:tcPr>
          <w:p w14:paraId="3C64A7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0-7分</w:t>
            </w:r>
          </w:p>
        </w:tc>
      </w:tr>
      <w:tr w14:paraId="615B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left w:val="single" w:color="auto" w:sz="4" w:space="0"/>
              <w:right w:val="single" w:color="auto" w:sz="4" w:space="0"/>
            </w:tcBorders>
            <w:vAlign w:val="center"/>
          </w:tcPr>
          <w:p w14:paraId="75CD765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14:paraId="1543D7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投标人技术实力</w:t>
            </w:r>
          </w:p>
        </w:tc>
        <w:tc>
          <w:tcPr>
            <w:tcW w:w="6733" w:type="dxa"/>
            <w:tcBorders>
              <w:top w:val="single" w:color="auto" w:sz="4" w:space="0"/>
              <w:left w:val="single" w:color="auto" w:sz="4" w:space="0"/>
              <w:bottom w:val="single" w:color="auto" w:sz="4" w:space="0"/>
              <w:right w:val="single" w:color="auto" w:sz="4" w:space="0"/>
            </w:tcBorders>
            <w:vAlign w:val="center"/>
          </w:tcPr>
          <w:p w14:paraId="4C3298C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1、投标人为本项目配备的</w:t>
            </w:r>
            <w:r>
              <w:rPr>
                <w:rFonts w:hint="eastAsia" w:ascii="宋体" w:hAnsi="宋体" w:eastAsia="宋体" w:cs="宋体"/>
                <w:sz w:val="24"/>
                <w:szCs w:val="24"/>
                <w:highlight w:val="none"/>
                <w:lang w:val="en-US" w:eastAsia="zh-CN"/>
              </w:rPr>
              <w:t>项目经理</w:t>
            </w:r>
            <w:r>
              <w:rPr>
                <w:rFonts w:hint="eastAsia" w:ascii="宋体" w:hAnsi="宋体" w:eastAsia="宋体" w:cs="宋体"/>
                <w:sz w:val="24"/>
                <w:szCs w:val="24"/>
                <w:highlight w:val="none"/>
                <w:lang w:val="en-US" w:eastAsia="en-US"/>
              </w:rPr>
              <w:t>具有计算机技术与软件专业技术资格的</w:t>
            </w:r>
            <w:r>
              <w:rPr>
                <w:rFonts w:hint="eastAsia" w:ascii="宋体" w:hAnsi="宋体" w:eastAsia="宋体" w:cs="宋体"/>
                <w:sz w:val="24"/>
                <w:szCs w:val="24"/>
                <w:highlight w:val="none"/>
                <w:lang w:val="en-US" w:eastAsia="zh-CN"/>
              </w:rPr>
              <w:t>系统集成</w:t>
            </w:r>
            <w:r>
              <w:rPr>
                <w:rFonts w:hint="eastAsia" w:ascii="宋体" w:hAnsi="宋体" w:eastAsia="宋体" w:cs="宋体"/>
                <w:sz w:val="24"/>
                <w:szCs w:val="24"/>
                <w:highlight w:val="none"/>
                <w:lang w:val="en-US" w:eastAsia="en-US"/>
              </w:rPr>
              <w:t>项目</w:t>
            </w:r>
            <w:r>
              <w:rPr>
                <w:rFonts w:hint="eastAsia" w:ascii="宋体" w:hAnsi="宋体" w:eastAsia="宋体" w:cs="宋体"/>
                <w:sz w:val="24"/>
                <w:szCs w:val="24"/>
                <w:highlight w:val="none"/>
                <w:lang w:val="en-US" w:eastAsia="zh-CN"/>
              </w:rPr>
              <w:t>管理工程师认证证书的，</w:t>
            </w:r>
            <w:r>
              <w:rPr>
                <w:rFonts w:hint="eastAsia" w:ascii="宋体" w:hAnsi="宋体" w:eastAsia="宋体" w:cs="宋体"/>
                <w:sz w:val="24"/>
                <w:szCs w:val="24"/>
                <w:highlight w:val="none"/>
                <w:lang w:val="en-US" w:eastAsia="en-US"/>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分，</w:t>
            </w:r>
            <w:r>
              <w:rPr>
                <w:rFonts w:hint="eastAsia" w:ascii="宋体" w:hAnsi="宋体" w:eastAsia="宋体" w:cs="宋体"/>
                <w:sz w:val="24"/>
                <w:szCs w:val="24"/>
                <w:highlight w:val="none"/>
                <w:lang w:val="en-US" w:eastAsia="zh-CN"/>
              </w:rPr>
              <w:t>本小项</w:t>
            </w:r>
            <w:r>
              <w:rPr>
                <w:rFonts w:hint="eastAsia" w:ascii="宋体" w:hAnsi="宋体" w:eastAsia="宋体" w:cs="宋体"/>
                <w:sz w:val="24"/>
                <w:szCs w:val="24"/>
                <w:highlight w:val="none"/>
                <w:lang w:val="en-US" w:eastAsia="en-US"/>
              </w:rPr>
              <w:t>满分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分；</w:t>
            </w:r>
          </w:p>
          <w:p w14:paraId="355C68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投标人为本项目配备的服务人员具有计算机技术与软件专业技术资格的</w:t>
            </w:r>
            <w:r>
              <w:rPr>
                <w:rFonts w:hint="eastAsia" w:ascii="宋体" w:hAnsi="宋体" w:eastAsia="宋体" w:cs="宋体"/>
                <w:sz w:val="24"/>
                <w:szCs w:val="24"/>
                <w:highlight w:val="none"/>
                <w:lang w:val="en-US" w:eastAsia="zh-CN"/>
              </w:rPr>
              <w:t>网络工程师</w:t>
            </w:r>
            <w:r>
              <w:rPr>
                <w:rFonts w:hint="eastAsia" w:ascii="宋体" w:hAnsi="宋体" w:eastAsia="宋体" w:cs="宋体"/>
                <w:sz w:val="24"/>
                <w:szCs w:val="24"/>
                <w:highlight w:val="none"/>
                <w:lang w:val="en-US" w:eastAsia="en-US"/>
              </w:rPr>
              <w:t>认证证书的，得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en-US"/>
              </w:rPr>
              <w:t>分，</w:t>
            </w:r>
            <w:r>
              <w:rPr>
                <w:rFonts w:hint="eastAsia" w:ascii="宋体" w:hAnsi="宋体" w:eastAsia="宋体" w:cs="宋体"/>
                <w:sz w:val="24"/>
                <w:szCs w:val="24"/>
                <w:highlight w:val="none"/>
                <w:lang w:val="en-US" w:eastAsia="zh-CN"/>
              </w:rPr>
              <w:t>本小项</w:t>
            </w:r>
            <w:r>
              <w:rPr>
                <w:rFonts w:hint="eastAsia" w:ascii="宋体" w:hAnsi="宋体" w:eastAsia="宋体" w:cs="宋体"/>
                <w:sz w:val="24"/>
                <w:szCs w:val="24"/>
                <w:highlight w:val="none"/>
                <w:lang w:val="en-US" w:eastAsia="en-US"/>
              </w:rPr>
              <w:t>满分</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en-US"/>
              </w:rPr>
              <w:t>分；</w:t>
            </w:r>
          </w:p>
          <w:p w14:paraId="2B51A67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注：</w:t>
            </w:r>
          </w:p>
          <w:p w14:paraId="518209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en-US"/>
              </w:rPr>
              <w:t>、投标文件中须提供：</w:t>
            </w:r>
          </w:p>
          <w:p w14:paraId="3D9A50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（1）上述人员名单（格式自拟）；</w:t>
            </w:r>
          </w:p>
          <w:p w14:paraId="6FF4457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（2）上述人员有效期内证书扫描件；</w:t>
            </w:r>
          </w:p>
          <w:p w14:paraId="59C1EA1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（3）投标人为上述人员缴纳的近3个月内任意1个月的社保证明材料。社保证明材料形式详见投标人须知前附表，提供任意五险之一即可；</w:t>
            </w:r>
          </w:p>
          <w:p w14:paraId="1A261C0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（4）投标人所提供的人员证书及社保必须真实可靠，如发现弄虚作假,则取消其本项目的中标资格,并报相关部门依规处理。</w:t>
            </w:r>
          </w:p>
        </w:tc>
        <w:tc>
          <w:tcPr>
            <w:tcW w:w="1032" w:type="dxa"/>
            <w:tcBorders>
              <w:top w:val="single" w:color="auto" w:sz="4" w:space="0"/>
              <w:left w:val="single" w:color="auto" w:sz="4" w:space="0"/>
              <w:bottom w:val="single" w:color="auto" w:sz="4" w:space="0"/>
              <w:right w:val="single" w:color="auto" w:sz="4" w:space="0"/>
            </w:tcBorders>
            <w:vAlign w:val="center"/>
          </w:tcPr>
          <w:p w14:paraId="37E06C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0-7分</w:t>
            </w:r>
          </w:p>
        </w:tc>
      </w:tr>
      <w:tr w14:paraId="6E69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tcBorders>
              <w:left w:val="single" w:color="auto" w:sz="4" w:space="0"/>
              <w:right w:val="single" w:color="auto" w:sz="4" w:space="0"/>
            </w:tcBorders>
            <w:vAlign w:val="center"/>
          </w:tcPr>
          <w:p w14:paraId="07D6364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p>
        </w:tc>
        <w:tc>
          <w:tcPr>
            <w:tcW w:w="1538" w:type="dxa"/>
            <w:tcBorders>
              <w:top w:val="single" w:color="auto" w:sz="4" w:space="0"/>
              <w:left w:val="single" w:color="auto" w:sz="4" w:space="0"/>
              <w:bottom w:val="single" w:color="auto" w:sz="4" w:space="0"/>
              <w:right w:val="single" w:color="auto" w:sz="4" w:space="0"/>
            </w:tcBorders>
            <w:vAlign w:val="center"/>
          </w:tcPr>
          <w:p w14:paraId="57D2FF4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投标人业绩</w:t>
            </w:r>
          </w:p>
        </w:tc>
        <w:tc>
          <w:tcPr>
            <w:tcW w:w="6733" w:type="dxa"/>
            <w:tcBorders>
              <w:top w:val="single" w:color="auto" w:sz="4" w:space="0"/>
              <w:left w:val="single" w:color="auto" w:sz="4" w:space="0"/>
              <w:bottom w:val="single" w:color="auto" w:sz="4" w:space="0"/>
              <w:right w:val="single" w:color="auto" w:sz="4" w:space="0"/>
            </w:tcBorders>
            <w:vAlign w:val="center"/>
          </w:tcPr>
          <w:p w14:paraId="35E6D39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自2022年1月1日以来（以合同签订时间为准），投标人具有网络安全建设业绩（合同内容须包含网络安全产品且必须是与最终用户直签的业绩合同），每提供一个业绩得2分，满分6分。</w:t>
            </w:r>
          </w:p>
          <w:p w14:paraId="1B2A1C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p w14:paraId="4DC0583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中同时提供合同、验收证明材料（如验收报告等）扫描件。如提供的上述材料无法体现业绩类别等关键信息的，须另附业主单位（合同甲方）提供的相关证明材料，且该证明材料须经评标委员会认可，否则不予计分。</w:t>
            </w:r>
          </w:p>
          <w:p w14:paraId="6557066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（2）提供的业主验收证明材料（如验收报告等）须加盖业主单位公章（或部门章），否则不予认可。</w:t>
            </w:r>
          </w:p>
          <w:p w14:paraId="4161DE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（3）投标人需确保业绩合同真实有效，投标人须提供业绩合同原件供招标人核查，若业绩合同存在伪造、篡改等虚假情形，招标人将作废标处理，相关违规行为将上报行政监督部门记入信用档案，并依法追责。</w:t>
            </w:r>
          </w:p>
        </w:tc>
        <w:tc>
          <w:tcPr>
            <w:tcW w:w="1032" w:type="dxa"/>
            <w:tcBorders>
              <w:top w:val="single" w:color="auto" w:sz="4" w:space="0"/>
              <w:left w:val="single" w:color="auto" w:sz="4" w:space="0"/>
              <w:bottom w:val="single" w:color="auto" w:sz="4" w:space="0"/>
              <w:right w:val="single" w:color="auto" w:sz="4" w:space="0"/>
            </w:tcBorders>
            <w:vAlign w:val="center"/>
          </w:tcPr>
          <w:p w14:paraId="205EEC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0-6分</w:t>
            </w:r>
          </w:p>
        </w:tc>
      </w:tr>
      <w:tr w14:paraId="5ACE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left w:val="single" w:color="auto" w:sz="4" w:space="0"/>
              <w:right w:val="single" w:color="auto" w:sz="4" w:space="0"/>
            </w:tcBorders>
            <w:vAlign w:val="center"/>
          </w:tcPr>
          <w:p w14:paraId="0F835E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价格分</w:t>
            </w:r>
          </w:p>
          <w:p w14:paraId="46DE334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（30分）</w:t>
            </w:r>
          </w:p>
        </w:tc>
        <w:tc>
          <w:tcPr>
            <w:tcW w:w="9303" w:type="dxa"/>
            <w:gridSpan w:val="3"/>
            <w:tcBorders>
              <w:top w:val="single" w:color="auto" w:sz="4" w:space="0"/>
              <w:left w:val="single" w:color="auto" w:sz="4" w:space="0"/>
              <w:bottom w:val="single" w:color="auto" w:sz="4" w:space="0"/>
              <w:right w:val="single" w:color="auto" w:sz="4" w:space="0"/>
            </w:tcBorders>
            <w:vAlign w:val="center"/>
          </w:tcPr>
          <w:p w14:paraId="72CFDBE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价格分统一采用低价优先法，即满足招标文件要求且投标价格最低的投标报价为评标基准价，其价格分为满分</w:t>
            </w:r>
            <w:r>
              <w:rPr>
                <w:rFonts w:hint="eastAsia" w:ascii="宋体" w:hAnsi="宋体" w:eastAsia="宋体" w:cs="宋体"/>
                <w:sz w:val="24"/>
                <w:szCs w:val="24"/>
                <w:highlight w:val="none"/>
                <w:u w:val="single"/>
                <w:lang w:val="en-US" w:eastAsia="zh-CN"/>
              </w:rPr>
              <w:t xml:space="preserve"> 30 </w:t>
            </w:r>
            <w:r>
              <w:rPr>
                <w:rFonts w:hint="eastAsia" w:ascii="宋体" w:hAnsi="宋体" w:eastAsia="宋体" w:cs="宋体"/>
                <w:sz w:val="24"/>
                <w:szCs w:val="24"/>
                <w:highlight w:val="none"/>
                <w:lang w:val="en-US" w:eastAsia="zh-CN"/>
              </w:rPr>
              <w:t>分。其他投标人的价格分统一按照下列公式计算：</w:t>
            </w:r>
          </w:p>
          <w:p w14:paraId="22D5E9A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投标报价得分＝（评标基准价/投标报价）×</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lang w:val="en-US" w:eastAsia="zh-CN"/>
              </w:rPr>
              <w:t>％×100</w:t>
            </w:r>
          </w:p>
        </w:tc>
      </w:tr>
    </w:tbl>
    <w:p w14:paraId="142C3338">
      <w:pPr>
        <w:ind w:firstLine="480"/>
        <w:rPr>
          <w:rFonts w:hint="eastAsia" w:ascii="宋体" w:hAnsi="宋体" w:eastAsia="宋体" w:cs="宋体"/>
          <w:sz w:val="36"/>
          <w:szCs w:val="36"/>
          <w:highlight w:val="none"/>
          <w:lang w:val="en-US" w:eastAsia="zh-CN"/>
        </w:rPr>
      </w:pPr>
    </w:p>
    <w:p w14:paraId="3753C8F3">
      <w:pPr>
        <w:rPr>
          <w:rFonts w:hint="eastAsia" w:ascii="宋体" w:hAnsi="宋体" w:eastAsia="宋体" w:cs="宋体"/>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E16DF"/>
    <w:multiLevelType w:val="singleLevel"/>
    <w:tmpl w:val="873E16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B7AC7"/>
    <w:rsid w:val="00A83AD0"/>
    <w:rsid w:val="010B1E00"/>
    <w:rsid w:val="026B3007"/>
    <w:rsid w:val="05FB7AC7"/>
    <w:rsid w:val="0B6E1DBA"/>
    <w:rsid w:val="0BFF07E0"/>
    <w:rsid w:val="0EE303C9"/>
    <w:rsid w:val="1097692F"/>
    <w:rsid w:val="1A5A7241"/>
    <w:rsid w:val="1F022D6F"/>
    <w:rsid w:val="1F1F544D"/>
    <w:rsid w:val="1F4B5A71"/>
    <w:rsid w:val="1FD71884"/>
    <w:rsid w:val="21EF0FF3"/>
    <w:rsid w:val="237E1814"/>
    <w:rsid w:val="2411723A"/>
    <w:rsid w:val="27363F21"/>
    <w:rsid w:val="27542439"/>
    <w:rsid w:val="2C047A08"/>
    <w:rsid w:val="2C876FE2"/>
    <w:rsid w:val="2DF612B6"/>
    <w:rsid w:val="310576C0"/>
    <w:rsid w:val="34480B4A"/>
    <w:rsid w:val="38163790"/>
    <w:rsid w:val="38CB25B7"/>
    <w:rsid w:val="3AB365A7"/>
    <w:rsid w:val="3CF26412"/>
    <w:rsid w:val="3F965517"/>
    <w:rsid w:val="3FF519C8"/>
    <w:rsid w:val="407451A1"/>
    <w:rsid w:val="44600A57"/>
    <w:rsid w:val="44803D71"/>
    <w:rsid w:val="458D1D37"/>
    <w:rsid w:val="465F5501"/>
    <w:rsid w:val="46C832BD"/>
    <w:rsid w:val="47326A17"/>
    <w:rsid w:val="490F0914"/>
    <w:rsid w:val="49C978BB"/>
    <w:rsid w:val="4EDB288F"/>
    <w:rsid w:val="4EED5818"/>
    <w:rsid w:val="51C8698B"/>
    <w:rsid w:val="54482775"/>
    <w:rsid w:val="556829A3"/>
    <w:rsid w:val="55810291"/>
    <w:rsid w:val="563F4775"/>
    <w:rsid w:val="5650221C"/>
    <w:rsid w:val="58421289"/>
    <w:rsid w:val="58810003"/>
    <w:rsid w:val="5AA15ED4"/>
    <w:rsid w:val="5BFE7BBD"/>
    <w:rsid w:val="5CCD0154"/>
    <w:rsid w:val="5E490A40"/>
    <w:rsid w:val="676C1E7F"/>
    <w:rsid w:val="67957627"/>
    <w:rsid w:val="689773CF"/>
    <w:rsid w:val="6A50383E"/>
    <w:rsid w:val="6C8508AD"/>
    <w:rsid w:val="707E7215"/>
    <w:rsid w:val="708C3333"/>
    <w:rsid w:val="713D423F"/>
    <w:rsid w:val="71E25E63"/>
    <w:rsid w:val="73DD49A4"/>
    <w:rsid w:val="749D668F"/>
    <w:rsid w:val="76CF057A"/>
    <w:rsid w:val="771E1304"/>
    <w:rsid w:val="7F82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宋体"/>
      <w:kern w:val="2"/>
      <w:sz w:val="24"/>
      <w:szCs w:val="24"/>
      <w:lang w:val="en-US" w:eastAsia="zh-CN" w:bidi="ar-SA"/>
    </w:rPr>
  </w:style>
  <w:style w:type="paragraph" w:styleId="2">
    <w:name w:val="heading 1"/>
    <w:basedOn w:val="1"/>
    <w:next w:val="1"/>
    <w:qFormat/>
    <w:uiPriority w:val="0"/>
    <w:pPr>
      <w:keepNext/>
      <w:outlineLvl w:val="0"/>
    </w:pPr>
    <w:rPr>
      <w:rFonts w:ascii="Arial" w:hAnsi="Arial" w:eastAsia="宋体" w:cs="@仿宋_GB2312"/>
      <w:b/>
      <w:sz w:val="36"/>
      <w:lang w:bidi="he-IL"/>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szCs w:val="22"/>
    </w:rPr>
  </w:style>
  <w:style w:type="paragraph" w:styleId="4">
    <w:name w:val="heading 3"/>
    <w:basedOn w:val="1"/>
    <w:next w:val="1"/>
    <w:link w:val="13"/>
    <w:semiHidden/>
    <w:unhideWhenUsed/>
    <w:qFormat/>
    <w:uiPriority w:val="0"/>
    <w:pPr>
      <w:keepNext/>
      <w:keepLines/>
      <w:spacing w:line="360" w:lineRule="auto"/>
      <w:outlineLvl w:val="2"/>
    </w:pPr>
    <w:rPr>
      <w:rFonts w:ascii="宋体" w:hAnsi="宋体" w:eastAsia="宋体" w:cs="宋体"/>
      <w:b/>
      <w:bCs/>
      <w:sz w:val="32"/>
      <w:szCs w:val="32"/>
    </w:rPr>
  </w:style>
  <w:style w:type="paragraph" w:styleId="5">
    <w:name w:val="heading 4"/>
    <w:next w:val="1"/>
    <w:qFormat/>
    <w:uiPriority w:val="18"/>
    <w:pPr>
      <w:keepNext/>
      <w:keepLines/>
      <w:widowControl w:val="0"/>
      <w:spacing w:before="200"/>
      <w:jc w:val="both"/>
      <w:outlineLvl w:val="3"/>
    </w:pPr>
    <w:rPr>
      <w:rFonts w:ascii="Calibri" w:hAnsi="Calibri" w:eastAsia="宋体" w:cs="Arial"/>
      <w:b/>
      <w:bCs/>
      <w:i/>
      <w:iCs/>
      <w:color w:val="7E97AD"/>
      <w:kern w:val="2"/>
      <w:sz w:val="21"/>
      <w:lang w:val="en-US" w:eastAsia="zh-CN" w:bidi="ar-SA"/>
    </w:rPr>
  </w:style>
  <w:style w:type="paragraph" w:styleId="6">
    <w:name w:val="heading 5"/>
    <w:basedOn w:val="1"/>
    <w:next w:val="1"/>
    <w:semiHidden/>
    <w:unhideWhenUsed/>
    <w:qFormat/>
    <w:uiPriority w:val="0"/>
    <w:pPr>
      <w:keepNext/>
      <w:keepLines/>
      <w:spacing w:before="280" w:after="290" w:line="360" w:lineRule="auto"/>
      <w:ind w:firstLine="0" w:firstLineChars="0"/>
      <w:outlineLvl w:val="4"/>
    </w:pPr>
    <w:rPr>
      <w:rFonts w:ascii="宋体" w:hAnsi="宋体" w:eastAsia="宋体"/>
      <w:b/>
      <w:bCs/>
      <w:sz w:val="24"/>
      <w:szCs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0"/>
    <w:pPr>
      <w:spacing w:after="120" w:afterLines="0" w:afterAutospacing="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3 Char"/>
    <w:basedOn w:val="11"/>
    <w:link w:val="4"/>
    <w:qFormat/>
    <w:uiPriority w:val="9"/>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9296</Words>
  <Characters>10472</Characters>
  <Lines>0</Lines>
  <Paragraphs>0</Paragraphs>
  <TotalTime>0</TotalTime>
  <ScaleCrop>false</ScaleCrop>
  <LinksUpToDate>false</LinksUpToDate>
  <CharactersWithSpaces>10508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2025-07-30T02:19:00Z</dcterms:created>
  <dc:creator>Xin</dc:creator>
  <cp:lastModifiedBy>yu_gaki</cp:lastModifiedBy>
  <dcterms:modified xsi:type="dcterms:W3CDTF">2025-08-18T08:43:32Z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FB91B9F064454FF98D2268D870390AE3_13</vt:lpwstr>
  </property>
  <property fmtid="{D5CDD505-2E9C-101B-9397-08002B2CF9AE}" pid="4" name="KSOTemplateDocerSaveRecord">
    <vt:lpwstr>eyJoZGlkIjoiY2Y3MzEyOGU5MzBjNDRjYmRiMDBlMDkwNTQ1ZjE3NzIiLCJ1c2VySWQiOiIxMTQwNjk1OTMwIn0=</vt:lpwstr>
  </property>
</Properties>
</file>