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C9A20">
      <w:pPr>
        <w:spacing w:line="580" w:lineRule="exact"/>
        <w:jc w:val="center"/>
        <w:rPr>
          <w:rFonts w:eastAsia="方正小标宋简体"/>
          <w:sz w:val="44"/>
          <w:szCs w:val="44"/>
        </w:rPr>
      </w:pPr>
    </w:p>
    <w:p w14:paraId="3C1763B8">
      <w:pPr>
        <w:spacing w:line="580" w:lineRule="exact"/>
        <w:jc w:val="center"/>
        <w:rPr>
          <w:rFonts w:eastAsia="方正小标宋简体"/>
          <w:sz w:val="44"/>
          <w:szCs w:val="44"/>
        </w:rPr>
      </w:pPr>
      <w:r>
        <w:rPr>
          <w:rFonts w:eastAsia="方正小标宋简体"/>
          <w:sz w:val="44"/>
          <w:szCs w:val="44"/>
        </w:rPr>
        <w:t>芜湖市政府行政决策研究课题研究指南</w:t>
      </w:r>
    </w:p>
    <w:p w14:paraId="147B97D0">
      <w:pPr>
        <w:widowControl/>
        <w:spacing w:line="580" w:lineRule="exact"/>
        <w:jc w:val="center"/>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2025</w:t>
      </w:r>
      <w:r>
        <w:rPr>
          <w:rFonts w:hint="eastAsia" w:ascii="楷体_GB2312" w:eastAsia="楷体_GB2312"/>
          <w:szCs w:val="32"/>
        </w:rPr>
        <w:t>年度）第</w:t>
      </w:r>
      <w:r>
        <w:rPr>
          <w:rFonts w:hint="eastAsia" w:ascii="楷体_GB2312" w:eastAsia="楷体_GB2312"/>
          <w:szCs w:val="32"/>
          <w:lang w:val="en-US" w:eastAsia="zh-CN"/>
        </w:rPr>
        <w:t>三</w:t>
      </w:r>
      <w:r>
        <w:rPr>
          <w:rFonts w:hint="eastAsia" w:ascii="楷体_GB2312" w:eastAsia="楷体_GB2312"/>
          <w:szCs w:val="32"/>
        </w:rPr>
        <w:t>批</w:t>
      </w:r>
    </w:p>
    <w:p w14:paraId="2216EAAF">
      <w:pPr>
        <w:widowControl/>
        <w:spacing w:line="580" w:lineRule="exact"/>
        <w:jc w:val="center"/>
        <w:rPr>
          <w:rFonts w:hint="eastAsia" w:ascii="楷体_GB2312" w:eastAsia="楷体_GB2312"/>
          <w:szCs w:val="32"/>
        </w:rPr>
      </w:pPr>
    </w:p>
    <w:p w14:paraId="6D1BD670">
      <w:pPr>
        <w:spacing w:line="580" w:lineRule="exact"/>
        <w:ind w:firstLine="632" w:firstLineChars="200"/>
        <w:rPr>
          <w:rFonts w:hint="eastAsia" w:ascii="黑体" w:hAnsi="黑体" w:eastAsia="黑体"/>
          <w:szCs w:val="32"/>
          <w:lang w:eastAsia="zh-CN"/>
        </w:rPr>
      </w:pPr>
      <w:r>
        <w:rPr>
          <w:rFonts w:hint="eastAsia" w:ascii="黑体" w:hAnsi="黑体" w:eastAsia="黑体"/>
          <w:szCs w:val="32"/>
          <w:lang w:val="en-US" w:eastAsia="zh-CN"/>
        </w:rPr>
        <w:t>1.</w:t>
      </w:r>
      <w:r>
        <w:rPr>
          <w:rFonts w:hint="eastAsia" w:ascii="黑体" w:hAnsi="黑体" w:eastAsia="黑体"/>
          <w:szCs w:val="32"/>
        </w:rPr>
        <w:t>EOD模式的制度安排与推动绿色转型的路径研究</w:t>
      </w:r>
    </w:p>
    <w:p w14:paraId="3364245F">
      <w:pPr>
        <w:pStyle w:val="3"/>
        <w:keepNext w:val="0"/>
        <w:keepLines w:val="0"/>
        <w:pageBreakBefore w:val="0"/>
        <w:widowControl w:val="0"/>
        <w:kinsoku/>
        <w:wordWrap/>
        <w:overflowPunct/>
        <w:topLinePunct w:val="0"/>
        <w:autoSpaceDE/>
        <w:autoSpaceDN/>
        <w:bidi w:val="0"/>
        <w:adjustRightInd w:val="0"/>
        <w:snapToGrid/>
        <w:spacing w:before="0" w:after="0" w:afterLines="0" w:line="580" w:lineRule="exact"/>
        <w:textAlignment w:val="auto"/>
        <w:rPr>
          <w:rFonts w:hint="default" w:ascii="Times New Roman" w:hAnsi="Times New Roman" w:eastAsia="仿宋_GB2312" w:cs="Times New Roman"/>
          <w:sz w:val="30"/>
          <w:szCs w:val="30"/>
          <w:lang w:val="en-US"/>
        </w:rPr>
      </w:pPr>
      <w:r>
        <w:rPr>
          <w:rFonts w:hint="default" w:ascii="Times New Roman" w:hAnsi="Times New Roman" w:eastAsia="仿宋_GB2312" w:cs="Times New Roman"/>
          <w:sz w:val="32"/>
          <w:szCs w:val="32"/>
        </w:rPr>
        <w:t>EOD模式通过生态环境治理项目改善生态环境质量，提升发展品质，推动生态优势转化为产业发展优势，实现产业的增值溢价，是生态环境治理模式的重大创新。</w:t>
      </w:r>
      <w:r>
        <w:rPr>
          <w:rFonts w:hint="default" w:ascii="Times New Roman" w:hAnsi="Times New Roman" w:eastAsia="仿宋_GB2312" w:cs="Times New Roman"/>
          <w:sz w:val="32"/>
          <w:szCs w:val="32"/>
          <w:lang w:val="en-US" w:eastAsia="zh-CN"/>
        </w:rPr>
        <w:t>党的二十届三中全会审议通过的《中共中央关于进一步全面深化改革 推进中国式现代化的决定</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明确，</w:t>
      </w:r>
      <w:r>
        <w:rPr>
          <w:rFonts w:hint="default" w:ascii="Times New Roman" w:hAnsi="Times New Roman" w:eastAsia="仿宋_GB2312" w:cs="Times New Roman"/>
          <w:sz w:val="32"/>
          <w:szCs w:val="32"/>
          <w:lang w:val="en-US" w:eastAsia="zh-CN"/>
        </w:rPr>
        <w:t>要“健全生态产品价值实现机制”。</w:t>
      </w:r>
      <w:r>
        <w:rPr>
          <w:rFonts w:hint="default" w:ascii="Times New Roman" w:hAnsi="Times New Roman" w:eastAsia="仿宋_GB2312" w:cs="Times New Roman"/>
          <w:sz w:val="32"/>
          <w:szCs w:val="32"/>
        </w:rPr>
        <w:t>作为全国重要的制造业基地，芜湖在推进工业强市的同时，亟需破解资源环境约束，探索以EOD模式为引领的绿色转型新路径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深化制度供给，</w:t>
      </w:r>
      <w:r>
        <w:rPr>
          <w:rFonts w:hint="default" w:ascii="Times New Roman" w:hAnsi="Times New Roman" w:eastAsia="仿宋_GB2312" w:cs="Times New Roman"/>
          <w:sz w:val="32"/>
          <w:szCs w:val="32"/>
        </w:rPr>
        <w:t>推动产业、城市与生态深度融合</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eastAsia="仿宋_GB2312" w:cs="Times New Roman"/>
          <w:color w:val="000000" w:themeColor="text1"/>
          <w:sz w:val="32"/>
          <w:szCs w:val="32"/>
          <w:lang w:val="en-US" w:eastAsia="zh-CN"/>
          <w14:textFill>
            <w14:solidFill>
              <w14:schemeClr w14:val="tx1"/>
            </w14:solidFill>
          </w14:textFill>
        </w:rPr>
        <w:t>芜湖</w:t>
      </w:r>
      <w:r>
        <w:rPr>
          <w:rFonts w:hint="default" w:ascii="Times New Roman" w:hAnsi="Times New Roman" w:eastAsia="仿宋_GB2312" w:cs="Times New Roman"/>
          <w:color w:val="000000" w:themeColor="text1"/>
          <w:sz w:val="32"/>
          <w:szCs w:val="32"/>
          <w14:textFill>
            <w14:solidFill>
              <w14:schemeClr w14:val="tx1"/>
            </w14:solidFill>
          </w14:textFill>
        </w:rPr>
        <w:t>EOD</w:t>
      </w:r>
      <w:r>
        <w:rPr>
          <w:rFonts w:hint="eastAsia" w:eastAsia="仿宋_GB2312" w:cs="Times New Roman"/>
          <w:color w:val="000000" w:themeColor="text1"/>
          <w:sz w:val="32"/>
          <w:szCs w:val="32"/>
          <w:lang w:val="en-US" w:eastAsia="zh-CN"/>
          <w14:textFill>
            <w14:solidFill>
              <w14:schemeClr w14:val="tx1"/>
            </w14:solidFill>
          </w14:textFill>
        </w:rPr>
        <w:t>作了初步探索，</w:t>
      </w:r>
      <w:r>
        <w:rPr>
          <w:rFonts w:hint="default" w:ascii="Times New Roman" w:hAnsi="Times New Roman" w:eastAsia="仿宋_GB2312" w:cs="Times New Roman"/>
          <w:sz w:val="32"/>
          <w:szCs w:val="32"/>
        </w:rPr>
        <w:t>本课题要求立足芜湖</w:t>
      </w:r>
      <w:r>
        <w:rPr>
          <w:rFonts w:hint="eastAsia" w:eastAsia="仿宋_GB2312" w:cs="Times New Roman"/>
          <w:sz w:val="32"/>
          <w:szCs w:val="32"/>
          <w:lang w:val="en-US" w:eastAsia="zh-CN"/>
        </w:rPr>
        <w:t>生态资源禀赋和产业发展需求</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借鉴国内先进地区EOD项目经验，提出适应芜湖区域特色的EOD制度框架，包括土地政策、资金保障、利益分配、监管考核等关键机制，同时探索研究如何通过EOD模式引导传统产业低碳转型与生态产业培育的实施路径。</w:t>
      </w:r>
    </w:p>
    <w:p w14:paraId="3CCB2B08">
      <w:pPr>
        <w:numPr>
          <w:ilvl w:val="0"/>
          <w:numId w:val="0"/>
        </w:numPr>
        <w:spacing w:line="580" w:lineRule="exact"/>
        <w:rPr>
          <w:rFonts w:hint="eastAsia" w:ascii="黑体" w:hAnsi="黑体" w:eastAsia="黑体"/>
          <w:szCs w:val="32"/>
        </w:rPr>
      </w:pPr>
    </w:p>
    <w:p w14:paraId="22A48520">
      <w:pPr>
        <w:numPr>
          <w:ilvl w:val="0"/>
          <w:numId w:val="0"/>
        </w:numPr>
        <w:spacing w:line="580" w:lineRule="exact"/>
        <w:ind w:firstLine="632" w:firstLineChars="200"/>
        <w:rPr>
          <w:rFonts w:hint="eastAsia" w:ascii="黑体" w:hAnsi="黑体" w:eastAsia="黑体"/>
          <w:szCs w:val="32"/>
        </w:rPr>
      </w:pPr>
      <w:r>
        <w:rPr>
          <w:rFonts w:hint="eastAsia" w:ascii="黑体" w:hAnsi="黑体" w:eastAsia="黑体"/>
          <w:szCs w:val="32"/>
          <w:lang w:val="en-US" w:eastAsia="zh-CN"/>
        </w:rPr>
        <w:t>2.</w:t>
      </w:r>
      <w:r>
        <w:rPr>
          <w:rFonts w:hint="eastAsia" w:ascii="黑体" w:hAnsi="黑体" w:eastAsia="黑体"/>
          <w:szCs w:val="32"/>
        </w:rPr>
        <w:t>芜湖市建设省域副中心，培育接续产业发展路径研究</w:t>
      </w:r>
    </w:p>
    <w:p w14:paraId="56D3A70B">
      <w:pPr>
        <w:numPr>
          <w:ilvl w:val="0"/>
          <w:numId w:val="0"/>
        </w:numPr>
        <w:spacing w:line="580" w:lineRule="exact"/>
        <w:ind w:firstLine="632" w:firstLineChars="200"/>
        <w:rPr>
          <w:rFonts w:hint="eastAsia" w:ascii="仿宋_GB2312" w:hAnsi="黑体"/>
          <w:szCs w:val="32"/>
        </w:rPr>
      </w:pPr>
      <w:r>
        <w:rPr>
          <w:rFonts w:hint="eastAsia" w:ascii="仿宋_GB2312" w:hAnsi="黑体"/>
          <w:szCs w:val="32"/>
        </w:rPr>
        <w:t>芜湖市作为安徽省域副中心，承担着引领区域经济高质量发展的重要使命</w:t>
      </w:r>
      <w:r>
        <w:rPr>
          <w:rFonts w:hint="eastAsia" w:ascii="仿宋_GB2312" w:hAnsi="黑体"/>
          <w:color w:val="000000" w:themeColor="text1"/>
          <w:szCs w:val="32"/>
          <w14:textFill>
            <w14:solidFill>
              <w14:schemeClr w14:val="tx1"/>
            </w14:solidFill>
          </w14:textFill>
        </w:rPr>
        <w:t>。目前，芜湖市四大支柱产业产值占全市规模以上工业比重较高,但当前国内外产业链重构和产业转型升级对城市的产业接续发展提出了更高要求。现为提升芜湖市新兴产业能级、升级优势传统产业、前瞻布局未来产业，增强产业发展的接续性、竞争力，在深入研究分析芜湖市产业基础、发展规划、区位形势等现状基础上，围绕如何因地制宜推动“产业接续发展”与“构建优质企业发展梯队”两大核心，探索提出在“十五五”，乃至更长一段时间，符合芜湖实际的创新发展路径和对策建议，为加快</w:t>
      </w:r>
      <w:r>
        <w:rPr>
          <w:rFonts w:hint="eastAsia" w:ascii="仿宋_GB2312" w:hAnsi="黑体"/>
          <w:szCs w:val="32"/>
        </w:rPr>
        <w:t>省域副中心建设提供更加有力支撑。</w:t>
      </w:r>
    </w:p>
    <w:p w14:paraId="419F0E2D">
      <w:pPr>
        <w:numPr>
          <w:ilvl w:val="0"/>
          <w:numId w:val="0"/>
        </w:numPr>
        <w:spacing w:line="580" w:lineRule="exact"/>
        <w:ind w:leftChars="200"/>
        <w:rPr>
          <w:rFonts w:hint="eastAsia" w:ascii="黑体" w:hAnsi="黑体" w:eastAsia="黑体"/>
          <w:szCs w:val="32"/>
        </w:rPr>
      </w:pPr>
    </w:p>
    <w:p w14:paraId="0738C409">
      <w:pPr>
        <w:numPr>
          <w:ilvl w:val="0"/>
          <w:numId w:val="0"/>
        </w:numPr>
        <w:spacing w:line="580" w:lineRule="exact"/>
        <w:ind w:firstLine="316" w:firstLineChars="100"/>
        <w:rPr>
          <w:rFonts w:hint="eastAsia"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lang w:val="en-US" w:eastAsia="zh-CN"/>
          <w14:textFill>
            <w14:solidFill>
              <w14:schemeClr w14:val="tx1"/>
            </w14:solidFill>
          </w14:textFill>
        </w:rPr>
        <w:t>3.</w:t>
      </w:r>
      <w:r>
        <w:rPr>
          <w:rFonts w:hint="eastAsia" w:ascii="黑体" w:hAnsi="黑体" w:eastAsia="黑体"/>
          <w:color w:val="000000" w:themeColor="text1"/>
          <w:szCs w:val="32"/>
          <w14:textFill>
            <w14:solidFill>
              <w14:schemeClr w14:val="tx1"/>
            </w14:solidFill>
          </w14:textFill>
        </w:rPr>
        <w:t>如何放大重组、整合、并购效应，增强市属国企核心能力，加快培育和发展新质生产力</w:t>
      </w:r>
    </w:p>
    <w:p w14:paraId="5CBFBF6C">
      <w:pPr>
        <w:numPr>
          <w:ilvl w:val="0"/>
          <w:numId w:val="0"/>
        </w:numPr>
        <w:spacing w:line="580" w:lineRule="exact"/>
        <w:ind w:firstLine="632" w:firstLineChars="200"/>
        <w:rPr>
          <w:rFonts w:hint="eastAsia" w:ascii="仿宋_GB2312" w:hAnsi="黑体"/>
          <w:szCs w:val="32"/>
        </w:rPr>
      </w:pPr>
      <w:r>
        <w:rPr>
          <w:rFonts w:hint="eastAsia" w:ascii="仿宋_GB2312" w:hAnsi="黑体"/>
          <w:szCs w:val="32"/>
        </w:rPr>
        <w:t>党的二十届三中全会提出“推进国有经济布局优化和结构调整，推动国有资本和国有企业做强做优做大，增强核心功能，提升核心竞争力”，为深化国企改革指明方向。芜湖市政府深入贯彻党中央决策部署，推动新一轮国企改革深化提升行动，现有市属国企15家，在城市建设、交通、医疗、人才服务等领域发挥着重要作用。当前，芜湖市属国企仍然面临着规模不大、主责主业聚焦不足、资源配置效率有待提升等问题，为统筹推进国有资本布局向战略性新兴产业和全市支柱产业、社会公共服务和产品供给等领域调整集中，进一步培育全市龙头型、专业型、集团型国有企业，强化组团式发展，芜湖市已形成市属国企整合重组实施方案。下一步，芜湖市属国企要在战略性重组和专业化整合基础上，抢抓资本市场新机遇，通过企业并购等途径进一步优化国有资本布局，增强产业链协同与核心竞争力，加快培育和发展新质生产力。基于此，本课题需结合芜湖市产业背景和发展趋势，分析当前芜湖市属国企在产业布局、人才招引、经营管理等方面的现状和不足，紧盯芜湖“六个之城”建设目标并借鉴先进地区改革经验，围绕如何进一步放大重组、整合、并购效应，提出芜湖市增强市属国企核心能力的意见建议，提高市属国企运营质效，推动国有资本成为城市高质量发展的“主力军”，助力芜湖省域副中心城市建设。</w:t>
      </w:r>
    </w:p>
    <w:p w14:paraId="554B5372">
      <w:pPr>
        <w:numPr>
          <w:ilvl w:val="0"/>
          <w:numId w:val="0"/>
        </w:numPr>
        <w:spacing w:line="580" w:lineRule="exact"/>
        <w:ind w:leftChars="200"/>
        <w:rPr>
          <w:rFonts w:hint="eastAsia" w:ascii="黑体" w:hAnsi="黑体" w:eastAsia="黑体"/>
          <w:szCs w:val="32"/>
          <w:lang w:val="en-US" w:eastAsia="zh-CN"/>
        </w:rPr>
      </w:pPr>
    </w:p>
    <w:p w14:paraId="27811AEE">
      <w:pPr>
        <w:numPr>
          <w:ilvl w:val="0"/>
          <w:numId w:val="0"/>
        </w:numPr>
        <w:spacing w:line="580" w:lineRule="exact"/>
        <w:ind w:leftChars="200"/>
        <w:rPr>
          <w:rFonts w:hint="eastAsia" w:ascii="黑体" w:hAnsi="黑体" w:eastAsia="黑体" w:cs="楷体_GB2312"/>
          <w:szCs w:val="32"/>
          <w:lang w:eastAsia="zh-CN"/>
        </w:rPr>
      </w:pPr>
      <w:r>
        <w:rPr>
          <w:rFonts w:hint="eastAsia" w:ascii="黑体" w:hAnsi="黑体" w:eastAsia="黑体"/>
          <w:szCs w:val="32"/>
          <w:lang w:val="en-US" w:eastAsia="zh-CN"/>
        </w:rPr>
        <w:t>4.</w:t>
      </w:r>
      <w:r>
        <w:rPr>
          <w:rFonts w:hint="eastAsia" w:ascii="黑体" w:hAnsi="黑体" w:eastAsia="黑体"/>
          <w:szCs w:val="32"/>
        </w:rPr>
        <w:t>芜湖地方政府隐债的形成、风险与治理的研究</w:t>
      </w:r>
    </w:p>
    <w:p w14:paraId="16C230AD">
      <w:pPr>
        <w:spacing w:line="580" w:lineRule="exact"/>
        <w:ind w:firstLine="632" w:firstLineChars="200"/>
        <w:rPr>
          <w:rFonts w:hint="eastAsia" w:ascii="仿宋_GB2312" w:hAnsi="黑体"/>
          <w:szCs w:val="32"/>
        </w:rPr>
      </w:pPr>
      <w:r>
        <w:rPr>
          <w:rFonts w:hint="eastAsia" w:ascii="仿宋_GB2312" w:hAnsi="黑体"/>
          <w:szCs w:val="32"/>
        </w:rPr>
        <w:t>党的二十届三中全会提出要“完善政府债务管理制度，建立全口径地方债务监测监管体系和防范化解隐性债务风险长效机制”。2025年政府工作报告指出，完善和落实一揽子化债方案，优化考核和管控措施，动态调整债务高风险地区名单，支持打开新的投资空间。在新一轮地方政府债务治理的背景下，本课题要求全面掌握我市地方政府隐性债务的有关情况，基于实际形势对我市地方政府隐债风险进行有</w:t>
      </w:r>
      <w:bookmarkStart w:id="0" w:name="_GoBack"/>
      <w:r>
        <w:rPr>
          <w:rFonts w:hint="eastAsia" w:ascii="仿宋_GB2312" w:hAnsi="黑体"/>
          <w:color w:val="000000" w:themeColor="text1"/>
          <w:szCs w:val="32"/>
          <w14:textFill>
            <w14:solidFill>
              <w14:schemeClr w14:val="tx1"/>
            </w14:solidFill>
          </w14:textFill>
        </w:rPr>
        <w:t>效识别，以及未来面临的潜在风险如何防控，避免陷入周期性的化债，</w:t>
      </w:r>
      <w:r>
        <w:rPr>
          <w:rFonts w:hint="eastAsia" w:ascii="仿宋_GB2312" w:hAnsi="黑体"/>
          <w:color w:val="000000" w:themeColor="text1"/>
          <w:szCs w:val="32"/>
          <w:lang w:val="en-US" w:eastAsia="zh-CN"/>
          <w14:textFill>
            <w14:solidFill>
              <w14:schemeClr w14:val="tx1"/>
            </w14:solidFill>
          </w14:textFill>
        </w:rPr>
        <w:t>研究国家政策导向的趋势，</w:t>
      </w:r>
      <w:bookmarkEnd w:id="0"/>
      <w:r>
        <w:rPr>
          <w:rFonts w:hint="eastAsia" w:ascii="仿宋_GB2312" w:hAnsi="黑体"/>
          <w:szCs w:val="32"/>
        </w:rPr>
        <w:t>提出有效的、前瞻性的隐债治理方法，建立防范化解隐性债务风险的长效机制。同时，结合芜湖实际，提出具有指导性、针对性的路径对策和可操作性的政策建议。</w:t>
      </w:r>
    </w:p>
    <w:sectPr>
      <w:footerReference r:id="rId3" w:type="default"/>
      <w:footerReference r:id="rId4" w:type="even"/>
      <w:pgSz w:w="11906" w:h="16838"/>
      <w:pgMar w:top="1985" w:right="1531" w:bottom="1871" w:left="1531" w:header="851" w:footer="1588" w:gutter="0"/>
      <w:cols w:space="720" w:num="1"/>
      <w:docGrid w:type="linesAndChars" w:linePitch="590"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F2EC6">
    <w:pPr>
      <w:pStyle w:val="5"/>
      <w:ind w:left="320" w:leftChars="100" w:right="320" w:rightChars="100"/>
      <w:jc w:val="center"/>
      <w:rPr>
        <w:sz w:val="28"/>
        <w:szCs w:val="28"/>
      </w:rPr>
    </w:pPr>
    <w:r>
      <w:rPr>
        <w:rFonts w:hint="eastAsia"/>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5F31B">
    <w:pPr>
      <w:pStyle w:val="5"/>
      <w:ind w:left="320" w:leftChars="100" w:right="320" w:rightChars="100"/>
      <w:jc w:val="center"/>
      <w:rPr>
        <w:sz w:val="20"/>
      </w:rPr>
    </w:pPr>
    <w:r>
      <w:rPr>
        <w:rFonts w:hint="eastAsia"/>
        <w:sz w:val="28"/>
        <w:szCs w:val="24"/>
      </w:rPr>
      <w:t>—</w:t>
    </w:r>
    <w:r>
      <w:rPr>
        <w:rFonts w:ascii="宋体" w:hAnsi="宋体"/>
        <w:sz w:val="28"/>
        <w:szCs w:val="24"/>
      </w:rPr>
      <w:fldChar w:fldCharType="begin"/>
    </w:r>
    <w:r>
      <w:rPr>
        <w:rFonts w:ascii="宋体" w:hAnsi="宋体"/>
        <w:sz w:val="28"/>
        <w:szCs w:val="24"/>
      </w:rPr>
      <w:instrText xml:space="preserve"> PAGE   \* MERGEFORMAT </w:instrText>
    </w:r>
    <w:r>
      <w:rPr>
        <w:rFonts w:ascii="宋体" w:hAnsi="宋体"/>
        <w:sz w:val="28"/>
        <w:szCs w:val="24"/>
      </w:rPr>
      <w:fldChar w:fldCharType="separate"/>
    </w:r>
    <w:r>
      <w:rPr>
        <w:rFonts w:ascii="宋体" w:hAnsi="宋体"/>
        <w:sz w:val="28"/>
        <w:szCs w:val="24"/>
        <w:lang w:val="zh-CN"/>
      </w:rPr>
      <w:t>4</w:t>
    </w:r>
    <w:r>
      <w:rPr>
        <w:rFonts w:ascii="宋体" w:hAnsi="宋体"/>
        <w:sz w:val="28"/>
        <w:szCs w:val="24"/>
      </w:rPr>
      <w:fldChar w:fldCharType="end"/>
    </w:r>
    <w:r>
      <w:rPr>
        <w:rFonts w:hint="eastAsia"/>
        <w:sz w:val="28"/>
        <w:szCs w:val="24"/>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hlZjk1YzMwYzAyMjk2MWFjMzFkNmMwNTUyYjcifQ=="/>
  </w:docVars>
  <w:rsids>
    <w:rsidRoot w:val="002D0745"/>
    <w:rsid w:val="00010D7C"/>
    <w:rsid w:val="002D0745"/>
    <w:rsid w:val="004A2352"/>
    <w:rsid w:val="006A1273"/>
    <w:rsid w:val="00E1462F"/>
    <w:rsid w:val="00FD3281"/>
    <w:rsid w:val="01224382"/>
    <w:rsid w:val="02926CD7"/>
    <w:rsid w:val="09820BB4"/>
    <w:rsid w:val="0992348B"/>
    <w:rsid w:val="12A43B7C"/>
    <w:rsid w:val="13D22600"/>
    <w:rsid w:val="14497C4C"/>
    <w:rsid w:val="20A951E7"/>
    <w:rsid w:val="20F52909"/>
    <w:rsid w:val="226E487C"/>
    <w:rsid w:val="26766906"/>
    <w:rsid w:val="2D2708F0"/>
    <w:rsid w:val="323E5792"/>
    <w:rsid w:val="32EF117B"/>
    <w:rsid w:val="34E6283D"/>
    <w:rsid w:val="35D80965"/>
    <w:rsid w:val="37D73326"/>
    <w:rsid w:val="3AEF1D20"/>
    <w:rsid w:val="3D8E7628"/>
    <w:rsid w:val="3DC654EF"/>
    <w:rsid w:val="3DE52958"/>
    <w:rsid w:val="45661CFB"/>
    <w:rsid w:val="46B2277A"/>
    <w:rsid w:val="49AA4A77"/>
    <w:rsid w:val="49BF4ECB"/>
    <w:rsid w:val="4A9B5A83"/>
    <w:rsid w:val="4E9861DB"/>
    <w:rsid w:val="5011116B"/>
    <w:rsid w:val="5D4B2542"/>
    <w:rsid w:val="6AEF5E7F"/>
    <w:rsid w:val="6F9A2F0D"/>
    <w:rsid w:val="708B071F"/>
    <w:rsid w:val="72301F4F"/>
    <w:rsid w:val="730B2E93"/>
    <w:rsid w:val="73722F12"/>
    <w:rsid w:val="76856AB9"/>
    <w:rsid w:val="783729E5"/>
    <w:rsid w:val="7A4A42A1"/>
    <w:rsid w:val="7A552C46"/>
    <w:rsid w:val="7D597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4">
    <w:name w:val="Balloon Text"/>
    <w:basedOn w:val="1"/>
    <w:link w:val="14"/>
    <w:unhideWhenUsed/>
    <w:qFormat/>
    <w:uiPriority w:val="99"/>
    <w:rPr>
      <w:sz w:val="18"/>
      <w:szCs w:val="18"/>
    </w:rPr>
  </w:style>
  <w:style w:type="paragraph" w:styleId="5">
    <w:name w:val="footer"/>
    <w:basedOn w:val="1"/>
    <w:link w:val="12"/>
    <w:autoRedefine/>
    <w:unhideWhenUsed/>
    <w:qFormat/>
    <w:uiPriority w:val="0"/>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autoRedefine/>
    <w:qFormat/>
    <w:uiPriority w:val="22"/>
    <w:rPr>
      <w:b/>
      <w:bCs/>
    </w:rPr>
  </w:style>
  <w:style w:type="character" w:styleId="10">
    <w:name w:val="annotation reference"/>
    <w:basedOn w:val="8"/>
    <w:autoRedefine/>
    <w:unhideWhenUsed/>
    <w:qFormat/>
    <w:uiPriority w:val="99"/>
    <w:rPr>
      <w:sz w:val="21"/>
      <w:szCs w:val="21"/>
    </w:rPr>
  </w:style>
  <w:style w:type="character" w:customStyle="1" w:styleId="11">
    <w:name w:val="页眉 Char"/>
    <w:basedOn w:val="8"/>
    <w:link w:val="6"/>
    <w:autoRedefine/>
    <w:qFormat/>
    <w:uiPriority w:val="99"/>
    <w:rPr>
      <w:sz w:val="18"/>
      <w:szCs w:val="18"/>
    </w:rPr>
  </w:style>
  <w:style w:type="character" w:customStyle="1" w:styleId="12">
    <w:name w:val="页脚 Char"/>
    <w:basedOn w:val="8"/>
    <w:link w:val="5"/>
    <w:autoRedefine/>
    <w:qFormat/>
    <w:uiPriority w:val="0"/>
    <w:rPr>
      <w:sz w:val="18"/>
      <w:szCs w:val="18"/>
    </w:rPr>
  </w:style>
  <w:style w:type="paragraph" w:customStyle="1" w:styleId="13">
    <w:name w:val="列出段落1"/>
    <w:basedOn w:val="1"/>
    <w:autoRedefine/>
    <w:qFormat/>
    <w:uiPriority w:val="34"/>
    <w:pPr>
      <w:ind w:firstLine="420" w:firstLineChars="200"/>
    </w:pPr>
  </w:style>
  <w:style w:type="character" w:customStyle="1" w:styleId="14">
    <w:name w:val="批注框文本 Char"/>
    <w:basedOn w:val="8"/>
    <w:link w:val="4"/>
    <w:autoRedefine/>
    <w:semiHidden/>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1563</Words>
  <Characters>1589</Characters>
  <Lines>20</Lines>
  <Paragraphs>5</Paragraphs>
  <TotalTime>7</TotalTime>
  <ScaleCrop>false</ScaleCrop>
  <LinksUpToDate>false</LinksUpToDate>
  <CharactersWithSpaces>1590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2024-01-31T02:37:00Z</dcterms:created>
  <dc:creator>微软用户</dc:creator>
  <cp:lastModifiedBy>晋</cp:lastModifiedBy>
  <dcterms:modified xsi:type="dcterms:W3CDTF">2025-05-12T01:05:31Z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F66546E3717542BB9544393E4E079577_13</vt:lpwstr>
  </property>
  <property fmtid="{D5CDD505-2E9C-101B-9397-08002B2CF9AE}" pid="4" name="KSOTemplateDocerSaveRecord">
    <vt:lpwstr>eyJoZGlkIjoiYTVmMDhlZjk1YzMwYzAyMjk2MWFjMzFkNmMwNTUyYjciLCJ1c2VySWQiOiI4NDI5ODI4MjMifQ==</vt:lpwstr>
  </property>
</Properties>
</file>