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5C890">
      <w:pPr>
        <w:wordWrap w:val="0"/>
        <w:spacing w:line="360" w:lineRule="auto"/>
        <w:jc w:val="center"/>
        <w:rPr>
          <w:rFonts w:hint="default" w:ascii="Arial" w:hAnsi="Arial" w:eastAsia="宋体" w:cs="Arial"/>
          <w:b/>
          <w:sz w:val="32"/>
          <w:szCs w:val="32"/>
          <w:lang w:val="en-US" w:eastAsia="zh-CN"/>
        </w:rPr>
      </w:pPr>
      <w:r>
        <w:rPr>
          <w:rFonts w:hint="eastAsia" w:ascii="Arial" w:hAnsi="Arial" w:eastAsia="宋体" w:cs="Arial"/>
          <w:b/>
          <w:sz w:val="32"/>
          <w:szCs w:val="32"/>
          <w:lang w:val="en-US" w:eastAsia="zh-CN"/>
        </w:rPr>
        <w:t>2025年安徽商贸职业技术学院智慧校园维保项目</w:t>
      </w:r>
    </w:p>
    <w:p w14:paraId="6008569C">
      <w:pPr>
        <w:wordWrap w:val="0"/>
        <w:spacing w:line="360" w:lineRule="auto"/>
        <w:jc w:val="center"/>
        <w:rPr>
          <w:rFonts w:hint="default" w:ascii="Arial" w:hAnsi="Arial" w:eastAsia="宋体" w:cs="Arial"/>
          <w:b/>
          <w:sz w:val="32"/>
          <w:szCs w:val="32"/>
          <w:lang w:val="en-US" w:eastAsia="zh-CN"/>
        </w:rPr>
      </w:pPr>
      <w:r>
        <w:rPr>
          <w:rFonts w:hint="eastAsia" w:ascii="Arial" w:hAnsi="Arial" w:eastAsia="宋体" w:cs="Arial"/>
          <w:b/>
          <w:sz w:val="32"/>
          <w:szCs w:val="32"/>
        </w:rPr>
        <w:t>采购需求</w:t>
      </w:r>
      <w:r>
        <w:rPr>
          <w:rFonts w:hint="eastAsia" w:ascii="Arial" w:hAnsi="Arial" w:eastAsia="宋体" w:cs="Arial"/>
          <w:b/>
          <w:sz w:val="32"/>
          <w:szCs w:val="32"/>
          <w:lang w:val="en-US" w:eastAsia="zh-CN"/>
        </w:rPr>
        <w:t>与评分参数</w:t>
      </w:r>
    </w:p>
    <w:p w14:paraId="7D68D84B">
      <w:pPr>
        <w:wordWrap w:val="0"/>
        <w:spacing w:line="360" w:lineRule="auto"/>
        <w:rPr>
          <w:rFonts w:ascii="Arial" w:hAnsi="Arial" w:eastAsia="宋体" w:cs="Arial"/>
          <w:b/>
          <w:sz w:val="28"/>
          <w:szCs w:val="28"/>
        </w:rPr>
      </w:pPr>
      <w:r>
        <w:rPr>
          <w:rFonts w:hint="eastAsia" w:ascii="Arial" w:hAnsi="Arial" w:eastAsia="宋体" w:cs="Arial"/>
          <w:b/>
          <w:sz w:val="28"/>
          <w:szCs w:val="28"/>
          <w:lang w:val="en-US" w:eastAsia="zh-CN"/>
        </w:rPr>
        <w:t>一、</w:t>
      </w:r>
      <w:r>
        <w:rPr>
          <w:rFonts w:ascii="Arial" w:hAnsi="Arial" w:eastAsia="宋体" w:cs="Arial"/>
          <w:b/>
          <w:sz w:val="28"/>
          <w:szCs w:val="28"/>
        </w:rPr>
        <w:t>项目概况</w:t>
      </w:r>
    </w:p>
    <w:p w14:paraId="41458948">
      <w:pPr>
        <w:spacing w:line="360" w:lineRule="auto"/>
        <w:ind w:firstLine="480" w:firstLineChars="200"/>
        <w:rPr>
          <w:rFonts w:ascii="宋体" w:hAnsi="宋体" w:eastAsia="宋体"/>
          <w:sz w:val="24"/>
        </w:rPr>
      </w:pPr>
      <w:r>
        <w:rPr>
          <w:rFonts w:hint="eastAsia" w:ascii="宋体" w:hAnsi="宋体" w:eastAsia="宋体"/>
          <w:sz w:val="24"/>
          <w:szCs w:val="18"/>
        </w:rPr>
        <w:t>安徽商贸职业技术学院</w:t>
      </w:r>
      <w:r>
        <w:rPr>
          <w:rFonts w:hint="eastAsia" w:ascii="宋体" w:hAnsi="宋体" w:eastAsia="宋体"/>
          <w:sz w:val="24"/>
        </w:rPr>
        <w:t>于2018年开始陆续建设了服务师生的多个信息化系统，其中包括统一身份认证、应用服务平台、公共服务、人事一期、智慧资助平台、迎新系统、数据资产平台、职教大脑平台；系统在运行期间使用良好，现各个系统均已过质保期。为了保证服务配套的延续性、避免重新投资建设，保障智慧校园系统的稳定性，从数据安全、故障处理和恢复、系统运行保障、系统业务保障等方面进行全面维护，保证各个系统能够更好地服务于学校教学、管理和服务的各项业务，推动智慧校园建设的快速发展。现需要采购该软件的软件维保服务，本服务为期一年。</w:t>
      </w:r>
    </w:p>
    <w:p w14:paraId="33F1C2C6">
      <w:pPr>
        <w:wordWrap w:val="0"/>
        <w:spacing w:line="360" w:lineRule="auto"/>
        <w:rPr>
          <w:rFonts w:hint="eastAsia" w:ascii="Arial" w:hAnsi="Arial" w:eastAsia="宋体" w:cs="Arial"/>
          <w:b/>
          <w:sz w:val="28"/>
          <w:szCs w:val="28"/>
        </w:rPr>
      </w:pPr>
      <w:r>
        <w:rPr>
          <w:rFonts w:hint="eastAsia" w:ascii="Arial" w:hAnsi="Arial" w:eastAsia="宋体" w:cs="Arial"/>
          <w:b/>
          <w:sz w:val="28"/>
          <w:szCs w:val="28"/>
          <w:lang w:val="en-US" w:eastAsia="zh-CN"/>
        </w:rPr>
        <w:t>二、</w:t>
      </w:r>
      <w:r>
        <w:rPr>
          <w:rFonts w:hint="eastAsia" w:ascii="Arial" w:hAnsi="Arial" w:eastAsia="宋体" w:cs="Arial"/>
          <w:b/>
          <w:sz w:val="28"/>
          <w:szCs w:val="28"/>
        </w:rPr>
        <w:t>服务要求</w:t>
      </w:r>
    </w:p>
    <w:p w14:paraId="1C9CDE2B">
      <w:pPr>
        <w:pStyle w:val="2"/>
      </w:pPr>
      <w:r>
        <w:rPr>
          <w:rFonts w:hint="eastAsia"/>
        </w:rPr>
        <w:t>维护服务对象</w:t>
      </w:r>
    </w:p>
    <w:p w14:paraId="5417AADA">
      <w:pPr>
        <w:spacing w:line="360" w:lineRule="auto"/>
        <w:ind w:firstLine="480" w:firstLineChars="200"/>
        <w:rPr>
          <w:rFonts w:hint="default" w:ascii="宋体" w:hAnsi="宋体" w:eastAsia="宋体"/>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安徽商贸职业技术学院智慧校园基础信息平台项目（信息管理中心）</w:t>
      </w:r>
    </w:p>
    <w:p w14:paraId="4259E5E1">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安徽商贸职业技术学院一网通版升级（信息管理中心）</w:t>
      </w:r>
    </w:p>
    <w:p w14:paraId="47BB2C78">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安徽商贸职业技术学院人事一期建设（组织人事处）</w:t>
      </w:r>
    </w:p>
    <w:p w14:paraId="72110CE9">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安徽商贸职业技术学院智慧资助信息化（学生工作处）</w:t>
      </w:r>
    </w:p>
    <w:p w14:paraId="50190B7A">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ascii="宋体" w:hAnsi="宋体" w:eastAsia="宋体" w:cs="宋体"/>
          <w:sz w:val="24"/>
          <w:szCs w:val="24"/>
        </w:rPr>
        <w:t>2021年安徽商贸职业技术学院迎新系统</w:t>
      </w:r>
      <w:r>
        <w:rPr>
          <w:rFonts w:hint="eastAsia" w:ascii="宋体" w:hAnsi="宋体" w:eastAsia="宋体" w:cs="宋体"/>
          <w:sz w:val="24"/>
          <w:szCs w:val="24"/>
        </w:rPr>
        <w:t>（学生工作处）</w:t>
      </w:r>
    </w:p>
    <w:p w14:paraId="1EAF82E1">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6.安徽商贸职业技术学院数据资产建设及数据治理（信息管理中心）</w:t>
      </w:r>
    </w:p>
    <w:p w14:paraId="3B77D759">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7.安徽商贸职业技术学院全国职教大脑上报平台一期（信息管理中心）</w:t>
      </w:r>
    </w:p>
    <w:p w14:paraId="470198E4">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原项目总金额：507.4万元     维保项目预算：35万元</w:t>
      </w:r>
    </w:p>
    <w:p w14:paraId="57B358C1">
      <w:pPr>
        <w:pStyle w:val="2"/>
      </w:pPr>
      <w:r>
        <w:rPr>
          <w:rFonts w:hint="eastAsia"/>
        </w:rPr>
        <w:t>维护期限</w:t>
      </w:r>
    </w:p>
    <w:p w14:paraId="79EF1E2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2025年06月15日至2026年06月14日。</w:t>
      </w:r>
    </w:p>
    <w:p w14:paraId="65C6AADD">
      <w:pPr>
        <w:pStyle w:val="2"/>
        <w:rPr>
          <w:rFonts w:hint="default"/>
          <w:lang w:val="en-US" w:eastAsia="zh-CN"/>
        </w:rPr>
      </w:pPr>
      <w:r>
        <w:rPr>
          <w:rFonts w:hint="eastAsia"/>
          <w:lang w:val="en-US" w:eastAsia="zh-CN"/>
        </w:rPr>
        <w:t>投标人须知</w:t>
      </w:r>
    </w:p>
    <w:p w14:paraId="2FCDD1D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投标人须具备所投系统的合法维护权限，具体要求如下：</w:t>
      </w:r>
    </w:p>
    <w:p w14:paraId="096151D3">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default"/>
          <w:color w:val="auto"/>
          <w:lang w:val="en-US" w:eastAsia="zh-CN"/>
        </w:rPr>
      </w:pPr>
      <w:r>
        <w:rPr>
          <w:rFonts w:hint="default"/>
          <w:color w:val="auto"/>
          <w:lang w:val="en-US" w:eastAsia="zh-CN"/>
        </w:rPr>
        <w:t>若投标人非原系统开发商，需提供原开发商出具的授权维护函（格式自拟），明确允许其对本项目涉及的所有系统（见“维护服务对象”列表）提供运维服务；</w:t>
      </w:r>
    </w:p>
    <w:p w14:paraId="5963F6E3">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default"/>
          <w:color w:val="auto"/>
          <w:lang w:val="en-US" w:eastAsia="zh-CN"/>
        </w:rPr>
      </w:pPr>
      <w:r>
        <w:rPr>
          <w:rFonts w:hint="default"/>
          <w:color w:val="auto"/>
          <w:lang w:val="en-US" w:eastAsia="zh-CN"/>
        </w:rPr>
        <w:t>若原开发商已无法提供授权（如破产、注销等），投标人需提供系统知识产权合法来源证明（如软件著作权转让协议、原采购合同中的运维权条款等）；</w:t>
      </w:r>
    </w:p>
    <w:p w14:paraId="77B5CE9F">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default"/>
          <w:color w:val="auto"/>
          <w:lang w:val="en-US" w:eastAsia="zh-CN"/>
        </w:rPr>
      </w:pPr>
      <w:r>
        <w:rPr>
          <w:rFonts w:hint="default"/>
          <w:color w:val="auto"/>
          <w:lang w:val="en-US" w:eastAsia="zh-CN"/>
        </w:rPr>
        <w:t>对于自研系统或已取得永久授权的系统，需提供软件使用许可协议或自主知识产权证明（如软件著作权登记证书）。</w:t>
      </w:r>
    </w:p>
    <w:p w14:paraId="2A76CAD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注：未提供上述证明材料的投标人，其投标将被视为无效。</w:t>
      </w:r>
    </w:p>
    <w:p w14:paraId="448758BB">
      <w:pPr>
        <w:pStyle w:val="2"/>
      </w:pPr>
      <w:r>
        <w:rPr>
          <w:rFonts w:hint="eastAsia"/>
        </w:rPr>
        <w:t>系统运行维护服务要求</w:t>
      </w:r>
    </w:p>
    <w:p w14:paraId="6DA61368">
      <w:pPr>
        <w:pStyle w:val="3"/>
        <w:keepNext w:val="0"/>
        <w:keepLines w:val="0"/>
        <w:pageBreakBefore w:val="0"/>
        <w:widowControl w:val="0"/>
        <w:numPr>
          <w:ilvl w:val="0"/>
          <w:numId w:val="5"/>
        </w:numPr>
        <w:kinsoku/>
        <w:wordWrap/>
        <w:overflowPunct/>
        <w:topLinePunct w:val="0"/>
        <w:autoSpaceDE/>
        <w:autoSpaceDN/>
        <w:bidi w:val="0"/>
        <w:adjustRightInd w:val="0"/>
        <w:snapToGrid/>
        <w:spacing w:line="400" w:lineRule="exact"/>
        <w:ind w:firstLine="480" w:firstLineChars="200"/>
        <w:jc w:val="left"/>
        <w:textAlignment w:val="baseline"/>
      </w:pPr>
      <w:r>
        <w:rPr>
          <w:rFonts w:hint="eastAsia"/>
          <w:lang w:val="en-US" w:eastAsia="zh-CN"/>
        </w:rPr>
        <w:t>★</w:t>
      </w:r>
      <w:r>
        <w:rPr>
          <w:rFonts w:hint="eastAsia"/>
        </w:rPr>
        <w:t>运维目标</w:t>
      </w:r>
    </w:p>
    <w:p w14:paraId="5F916580">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pPr>
      <w:r>
        <w:rPr>
          <w:rFonts w:hint="eastAsia"/>
          <w:lang w:eastAsia="zh-CN"/>
        </w:rPr>
        <w:t>（</w:t>
      </w:r>
      <w:r>
        <w:rPr>
          <w:rFonts w:hint="eastAsia"/>
          <w:lang w:val="en-US" w:eastAsia="zh-CN"/>
        </w:rPr>
        <w:t>1</w:t>
      </w:r>
      <w:r>
        <w:rPr>
          <w:rFonts w:hint="eastAsia"/>
          <w:lang w:eastAsia="zh-CN"/>
        </w:rPr>
        <w:t>）</w:t>
      </w:r>
      <w:r>
        <w:rPr>
          <w:rFonts w:hint="eastAsia"/>
        </w:rPr>
        <w:t>基本目标</w:t>
      </w:r>
    </w:p>
    <w:p w14:paraId="36171C7A">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color w:val="auto"/>
        </w:rPr>
      </w:pPr>
      <w:r>
        <w:rPr>
          <w:rFonts w:hint="eastAsia"/>
          <w:color w:val="auto"/>
          <w:lang w:val="zh-TW" w:eastAsia="zh-TW"/>
        </w:rPr>
        <w:t>最大程度保障核心应用业务连续性，具备相关工具和手段确保数据安全稳定性。</w:t>
      </w:r>
    </w:p>
    <w:p w14:paraId="1AD562C3">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color w:val="auto"/>
          <w:lang w:val="zh-TW" w:eastAsia="zh-TW"/>
        </w:rPr>
      </w:pPr>
      <w:r>
        <w:rPr>
          <w:rFonts w:hint="eastAsia"/>
          <w:color w:val="auto"/>
          <w:lang w:val="zh-TW" w:eastAsia="zh-TW"/>
        </w:rPr>
        <w:t>系统日常运维保障和性能调优。</w:t>
      </w:r>
    </w:p>
    <w:p w14:paraId="5D7E86B4">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系统功能优化与提升：根据学校业务需求和技术发展趋势，对系统功能进行持续优化（如界面交互、业务流程简化等），每年至少完成2项功能性改进，提交《功能优化报告》。</w:t>
      </w:r>
    </w:p>
    <w:p w14:paraId="5DF7246D">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2</w:t>
      </w:r>
      <w:r>
        <w:rPr>
          <w:rFonts w:hint="eastAsia"/>
          <w:lang w:eastAsia="zh-CN"/>
        </w:rPr>
        <w:t>）服务团队人员能力要求：</w:t>
      </w:r>
    </w:p>
    <w:p w14:paraId="53BA2C6A">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对于ITIL运维管理框架具备深刻理解并能结合项目开展实际运维工作，有实际ITIL工具；</w:t>
      </w:r>
    </w:p>
    <w:p w14:paraId="3E0EE36D">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深刻理解运维项目的运行管理机制，制定切实有效的管理运作流程；</w:t>
      </w:r>
    </w:p>
    <w:p w14:paraId="66ADD237">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具备大型项目系统运行及管理经验，熟悉系统的运行特点，切实可靠地完成对核心系统的日常运行维护工作；</w:t>
      </w:r>
    </w:p>
    <w:p w14:paraId="0AD61459">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熟悉主流数据库（如Oracle、MySQL等）及混合云架构的管理思路；技术队伍需配备多领域技术支持团队（如数据库、中间件、系统架构等），相关人员可提供主流技术认证（如数据库厂商认证、云计算认证等）作为能力证明。</w:t>
      </w:r>
    </w:p>
    <w:p w14:paraId="48EBA9AB">
      <w:pPr>
        <w:pStyle w:val="3"/>
        <w:keepNext w:val="0"/>
        <w:keepLines w:val="0"/>
        <w:pageBreakBefore w:val="0"/>
        <w:widowControl w:val="0"/>
        <w:numPr>
          <w:ilvl w:val="0"/>
          <w:numId w:val="5"/>
        </w:numPr>
        <w:kinsoku/>
        <w:wordWrap/>
        <w:overflowPunct/>
        <w:topLinePunct w:val="0"/>
        <w:autoSpaceDE/>
        <w:autoSpaceDN/>
        <w:bidi w:val="0"/>
        <w:adjustRightInd w:val="0"/>
        <w:snapToGrid/>
        <w:spacing w:line="400" w:lineRule="exact"/>
        <w:ind w:firstLine="480" w:firstLineChars="200"/>
        <w:jc w:val="left"/>
        <w:textAlignment w:val="baseline"/>
        <w:rPr>
          <w:rFonts w:hint="eastAsia"/>
        </w:rPr>
      </w:pPr>
      <w:r>
        <w:rPr>
          <w:rFonts w:hint="eastAsia"/>
        </w:rPr>
        <w:t>运维管理要求</w:t>
      </w:r>
    </w:p>
    <w:p w14:paraId="1D68D373">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1</w:t>
      </w:r>
      <w:r>
        <w:rPr>
          <w:rFonts w:hint="eastAsia"/>
          <w:lang w:eastAsia="zh-CN"/>
        </w:rPr>
        <w:t>）基本管理要求</w:t>
      </w:r>
    </w:p>
    <w:p w14:paraId="10A4DC2B">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按运维管理流程及时向管理系统报告问题/异常</w:t>
      </w:r>
    </w:p>
    <w:p w14:paraId="7F012506">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巡检工作及相应工作台账</w:t>
      </w:r>
    </w:p>
    <w:p w14:paraId="2D65FDDE">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各系统应用程序和数据的备份</w:t>
      </w:r>
    </w:p>
    <w:p w14:paraId="5F931847">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纠错性服务：对系统运行过程中出现的错误进行分析和修复；对于由于系统本身设计的原因或者在前期运行过程中没有暴露出来的错误进行分析、修复或者提供其它的解决措施</w:t>
      </w:r>
    </w:p>
    <w:p w14:paraId="07D05F5C">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安全服务：系统本身有安全漏洞或其它由于安全原因涉及的调整配合整改</w:t>
      </w:r>
    </w:p>
    <w:p w14:paraId="266A6E85">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配合学校梳理信息系统的信息资产</w:t>
      </w:r>
    </w:p>
    <w:p w14:paraId="240BDEE8">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2</w:t>
      </w:r>
      <w:r>
        <w:rPr>
          <w:rFonts w:hint="eastAsia"/>
          <w:lang w:eastAsia="zh-CN"/>
        </w:rPr>
        <w:t>）事件管理流程</w:t>
      </w:r>
    </w:p>
    <w:p w14:paraId="32F71B21">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建立知识库，对问题进行初判并试图解决问题。</w:t>
      </w:r>
    </w:p>
    <w:p w14:paraId="689BBC47">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能够对问题进行跟踪、并能及时通知相关人员尽快解决问题，直到问题的关闭。所有问题要都能闭环管理，有相关记录，并作为工作量支撑。</w:t>
      </w:r>
    </w:p>
    <w:p w14:paraId="7750F3AC">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对未按时解决的问题，能够将事件升级并上报投标人有关方和上级主管。</w:t>
      </w:r>
    </w:p>
    <w:p w14:paraId="7B907C6A">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对于一线工程师不能解决的问题支持协调相关人员快速解决问题。</w:t>
      </w:r>
    </w:p>
    <w:p w14:paraId="148CD7C0">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提供给各类用户进行问题的查询并反映问题的解决进程。</w:t>
      </w:r>
    </w:p>
    <w:p w14:paraId="4FBC08CB">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能够统计每季度、每年的问题次数、故障次数。</w:t>
      </w:r>
    </w:p>
    <w:p w14:paraId="658CE4FE">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3</w:t>
      </w:r>
      <w:r>
        <w:rPr>
          <w:rFonts w:hint="eastAsia"/>
          <w:lang w:eastAsia="zh-CN"/>
        </w:rPr>
        <w:t>）问题管理流程</w:t>
      </w:r>
    </w:p>
    <w:p w14:paraId="217768E2">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能够分析从管理系统获得的所有事件，确定它们的共性。</w:t>
      </w:r>
    </w:p>
    <w:p w14:paraId="02EB3D36">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能够定义已知的问题，将处理办法汇总到知识库中。</w:t>
      </w:r>
    </w:p>
    <w:p w14:paraId="318F119D">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管理系统能够提供给操作者选择已知解决方案。</w:t>
      </w:r>
    </w:p>
    <w:p w14:paraId="6E809FC5">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在各级维护人员之间建立问题处理流程，并进行跟踪，可管理所有出现的问题。</w:t>
      </w:r>
    </w:p>
    <w:p w14:paraId="42856F0B">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对每次故障须明确问题原因，并按照招标人要求在3个工作日内提供故障报告</w:t>
      </w:r>
    </w:p>
    <w:p w14:paraId="63E3FB2B">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pPr>
      <w:r>
        <w:rPr>
          <w:rFonts w:hint="eastAsia"/>
          <w:color w:val="auto"/>
          <w:lang w:val="zh-TW" w:eastAsia="zh-TW"/>
        </w:rPr>
        <w:t>对于当前已识别的具体问题（如人事一期建设中请销假数据同步异常问题），中标方需在合同签订后15个工作日内提交专项解决方案，明确技术措施和解决时间节点（原则上不超过 30 个工作日），经甲方确认后实施。对因系统设计缺陷导致的问题，需提供长期优化方案。</w:t>
      </w:r>
    </w:p>
    <w:p w14:paraId="0B40827A">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4</w:t>
      </w:r>
      <w:r>
        <w:rPr>
          <w:rFonts w:hint="eastAsia"/>
          <w:lang w:eastAsia="zh-CN"/>
        </w:rPr>
        <w:t>）报告管理</w:t>
      </w:r>
    </w:p>
    <w:p w14:paraId="35E076C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按需求提供如下报告：</w:t>
      </w:r>
    </w:p>
    <w:p w14:paraId="0282F19D">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每季度运行服务报告</w:t>
      </w:r>
    </w:p>
    <w:p w14:paraId="66C79E68">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每年运维服务工作总结报告</w:t>
      </w:r>
    </w:p>
    <w:p w14:paraId="1F3ED8B2">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5</w:t>
      </w:r>
      <w:r>
        <w:rPr>
          <w:rFonts w:hint="eastAsia"/>
          <w:lang w:eastAsia="zh-CN"/>
        </w:rPr>
        <w:t>）按照不同故障级别区分响应时间，故障级别如下：</w:t>
      </w:r>
    </w:p>
    <w:p w14:paraId="1801D188">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一级，重大故障：学校的信息系统严重损坏，造成经济财产损失，引发负面影响，比如造成系统宕机、数据丢失。</w:t>
      </w:r>
    </w:p>
    <w:p w14:paraId="3076B444">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二级，严重故障：学校的信息系统长时间严重故障，严重影响学校的正常教育、教学和办公，比如学校信息系统中多个核心服务或系统完全停止工作超过0.5小时。</w:t>
      </w:r>
    </w:p>
    <w:p w14:paraId="062F5611">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三级，一般故障：学校的信息系统中的某项核心服务暂时性故障，短暂影响部分学生或教职工的正常学习、教学和办公，比如单个系统模块无法访问一个小时。</w:t>
      </w:r>
    </w:p>
    <w:p w14:paraId="403EED0E">
      <w:pPr>
        <w:pStyle w:val="8"/>
        <w:keepNext w:val="0"/>
        <w:keepLines w:val="0"/>
        <w:pageBreakBefore w:val="0"/>
        <w:widowControl w:val="0"/>
        <w:numPr>
          <w:ilvl w:val="0"/>
          <w:numId w:val="4"/>
        </w:numPr>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color w:val="auto"/>
          <w:lang w:val="zh-TW" w:eastAsia="zh-TW"/>
        </w:rPr>
      </w:pPr>
      <w:r>
        <w:rPr>
          <w:rFonts w:hint="eastAsia"/>
          <w:color w:val="auto"/>
          <w:lang w:val="zh-TW" w:eastAsia="zh-TW"/>
        </w:rPr>
        <w:t>四级，轻度故障：学校的信息系统中的某项次要服务暂时性务故障，影响个别学生或教职工的正常学习、教学和办公，比如系统在数分钟内无法访问。</w:t>
      </w:r>
    </w:p>
    <w:p w14:paraId="39C522D3">
      <w:pPr>
        <w:pStyle w:val="3"/>
        <w:keepNext w:val="0"/>
        <w:keepLines w:val="0"/>
        <w:pageBreakBefore w:val="0"/>
        <w:widowControl w:val="0"/>
        <w:numPr>
          <w:ilvl w:val="0"/>
          <w:numId w:val="5"/>
        </w:numPr>
        <w:kinsoku/>
        <w:wordWrap/>
        <w:overflowPunct/>
        <w:topLinePunct w:val="0"/>
        <w:autoSpaceDE/>
        <w:autoSpaceDN/>
        <w:bidi w:val="0"/>
        <w:adjustRightInd w:val="0"/>
        <w:snapToGrid/>
        <w:spacing w:line="400" w:lineRule="exact"/>
        <w:ind w:firstLine="480" w:firstLineChars="200"/>
        <w:jc w:val="left"/>
        <w:textAlignment w:val="baseline"/>
        <w:rPr>
          <w:rFonts w:hint="eastAsia"/>
        </w:rPr>
      </w:pPr>
      <w:r>
        <w:rPr>
          <w:rFonts w:hint="eastAsia"/>
          <w:lang w:eastAsia="zh-CN"/>
        </w:rPr>
        <w:t>服务项</w:t>
      </w:r>
    </w:p>
    <w:p w14:paraId="1E08E24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以下服务内容需覆盖各系统原中标方案中的运维要求，包括但不限于系统功能维护、数据治理、接口对接支持等，确保服务延续性和项目可持续性。</w:t>
      </w:r>
    </w:p>
    <w:p w14:paraId="20167233">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1</w:t>
      </w:r>
      <w:r>
        <w:rPr>
          <w:rFonts w:hint="eastAsia"/>
          <w:lang w:eastAsia="zh-CN"/>
        </w:rPr>
        <w:t>）电话咨询服务：使用系统过程中，可通过电话、微信等方式向乙方提出问题，乙方给予必要的解答。</w:t>
      </w:r>
      <w:bookmarkStart w:id="0" w:name="_Toc266735532"/>
    </w:p>
    <w:p w14:paraId="33DA5589">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2</w:t>
      </w:r>
      <w:r>
        <w:rPr>
          <w:rFonts w:hint="eastAsia"/>
          <w:lang w:eastAsia="zh-CN"/>
        </w:rPr>
        <w:t>）远程协助服务</w:t>
      </w:r>
      <w:bookmarkEnd w:id="0"/>
      <w:r>
        <w:rPr>
          <w:rFonts w:hint="eastAsia"/>
          <w:lang w:eastAsia="zh-CN"/>
        </w:rPr>
        <w:t>：经过用户允许，使用远程拨号或互联网方式提供及时的协助服务，准确、全面了解用户系统运行状况，发现其中存在的问题和错误，从而更直接、快速地为用户排除故障，解决问题。</w:t>
      </w:r>
    </w:p>
    <w:p w14:paraId="7CB53B93">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3</w:t>
      </w:r>
      <w:r>
        <w:rPr>
          <w:rFonts w:hint="eastAsia"/>
          <w:lang w:eastAsia="zh-CN"/>
        </w:rPr>
        <w:t>）Bug修复服务：</w:t>
      </w:r>
      <w:r>
        <w:rPr>
          <w:rFonts w:hint="eastAsia"/>
          <w:lang w:val="en-US" w:eastAsia="zh-CN"/>
        </w:rPr>
        <w:t>乙</w:t>
      </w:r>
      <w:r>
        <w:rPr>
          <w:rFonts w:hint="eastAsia"/>
          <w:lang w:eastAsia="zh-CN"/>
        </w:rPr>
        <w:t>方对系统运行过程中出现的错误进行分析和修复；对于由于系统本身设计的原因或者在前期运行过程中没有暴露出来的错误进行分析、修复或者提供其它的解决措施。</w:t>
      </w:r>
    </w:p>
    <w:p w14:paraId="47574921">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4</w:t>
      </w:r>
      <w:r>
        <w:rPr>
          <w:rFonts w:hint="eastAsia"/>
          <w:lang w:eastAsia="zh-CN"/>
        </w:rPr>
        <w:t>）故障分析处理服务：对系统运行过程中出现的故障问题提供分析与诊断服务，故障类问题在2小时内予以响应处理。</w:t>
      </w:r>
    </w:p>
    <w:p w14:paraId="309C5BB7">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5</w:t>
      </w:r>
      <w:r>
        <w:rPr>
          <w:rFonts w:hint="eastAsia"/>
          <w:lang w:eastAsia="zh-CN"/>
        </w:rPr>
        <w:t>）系统管理运行支持服务：对系统管理员提供系统运行维护过程中的技术、问题定位、操作支持，协助系统管理员完成系统运行管理工作。</w:t>
      </w:r>
    </w:p>
    <w:p w14:paraId="6A643CD0">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6</w:t>
      </w:r>
      <w:r>
        <w:rPr>
          <w:rFonts w:hint="eastAsia"/>
          <w:lang w:eastAsia="zh-CN"/>
        </w:rPr>
        <w:t>）咨询答疑服务：及时响应并解答系统运行中用户的疑问和咨询，咨询答疑类问题3小时内予以响应。</w:t>
      </w:r>
    </w:p>
    <w:p w14:paraId="268B6C65">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7</w:t>
      </w:r>
      <w:r>
        <w:rPr>
          <w:rFonts w:hint="eastAsia"/>
          <w:lang w:eastAsia="zh-CN"/>
        </w:rPr>
        <w:t>）系统安全修复：配合学校系统安全检测相关工作，对已发现的安全系统漏洞及安全隐患及时修复及解决。</w:t>
      </w:r>
    </w:p>
    <w:p w14:paraId="26AC2576">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8</w:t>
      </w:r>
      <w:r>
        <w:rPr>
          <w:rFonts w:hint="eastAsia"/>
          <w:lang w:eastAsia="zh-CN"/>
        </w:rPr>
        <w:t>）系统巡检服务：对于维护范围内的各类软件，提供每季度一次的全面的巡检服务。通过该巡检服务，使甲方能了解软的使用情况和潜在问题，提早预防，避免故障发生。</w:t>
      </w:r>
    </w:p>
    <w:p w14:paraId="0CD70A00">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9</w:t>
      </w:r>
      <w:r>
        <w:rPr>
          <w:rFonts w:hint="eastAsia"/>
          <w:lang w:eastAsia="zh-CN"/>
        </w:rPr>
        <w:t>）业务保障服务：在重要的业务节点（包括但不限于：迎新、招聘、综合测评等）对学校业务系统进行数据准备、业务答疑、系统运行保障相关工作。</w:t>
      </w:r>
    </w:p>
    <w:p w14:paraId="687C5359">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10</w:t>
      </w:r>
      <w:r>
        <w:rPr>
          <w:rFonts w:hint="eastAsia"/>
          <w:lang w:eastAsia="zh-CN"/>
        </w:rPr>
        <w:t>）回访服务：提供每年2次的现场回访服务和每年2次的远程回访服务，获取甲方用户对于服务工作的意见和建议，深入了解系统的使用情况以便更好的提供服务。</w:t>
      </w:r>
    </w:p>
    <w:p w14:paraId="011869B4">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11</w:t>
      </w:r>
      <w:r>
        <w:rPr>
          <w:rFonts w:hint="eastAsia"/>
          <w:lang w:eastAsia="zh-CN"/>
        </w:rPr>
        <w:t>）业务数据处理服务：1、数据调整：由于用户业务变化、历史数据原因，在获得用户方授权后，通过后台数据库进行零星调整或修复；2、数据提取：针对用户临时的个性化需求系统无响应的报表，需要从后台数据库导出数据，并整理成excel文档。</w:t>
      </w:r>
    </w:p>
    <w:p w14:paraId="6FB74457">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12</w:t>
      </w:r>
      <w:r>
        <w:rPr>
          <w:rFonts w:hint="eastAsia"/>
          <w:lang w:eastAsia="zh-CN"/>
        </w:rPr>
        <w:t>）接口集成支持服务：提供第三方系统对接所需的接口文档/说明、对接过程中的咨询答疑，配合学校数据对接工作，包括数据交换等。（说明：接口集成开发涉及到的二次开发服务不在本服务范围内。）</w:t>
      </w:r>
    </w:p>
    <w:p w14:paraId="3C872A8A">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13</w:t>
      </w:r>
      <w:r>
        <w:rPr>
          <w:rFonts w:hint="eastAsia"/>
          <w:lang w:eastAsia="zh-CN"/>
        </w:rPr>
        <w:t>）小助手在线服务：在运维服务期内，开放小助手用户权限，实现客户问题自助登记、过程透明、结果确认、关闭评价的全过程管理；对于常见问题、巡检信息开放共享，以便及时了解项目问题解决进展，同时提供线上投诉渠道，保证用户权益。</w:t>
      </w:r>
    </w:p>
    <w:p w14:paraId="46DA17CD">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14</w:t>
      </w:r>
      <w:r>
        <w:rPr>
          <w:rFonts w:hint="eastAsia"/>
          <w:lang w:eastAsia="zh-CN"/>
        </w:rPr>
        <w:t>）年度服务报告：提供年度运维服务报告，全面总结年度运维工作执行情况。</w:t>
      </w:r>
    </w:p>
    <w:p w14:paraId="16128AC8">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15</w:t>
      </w:r>
      <w:r>
        <w:rPr>
          <w:rFonts w:hint="eastAsia"/>
          <w:lang w:eastAsia="zh-CN"/>
        </w:rPr>
        <w:t>）功能优化服务：针对系统现有功能，提供不少于2次/年的优化服务，包括但不限于业务流程梳理、界面交互改进、报表功能增强等，优化方案需经甲方确认后实施。</w:t>
      </w:r>
    </w:p>
    <w:p w14:paraId="6F84D074">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16</w:t>
      </w:r>
      <w:r>
        <w:rPr>
          <w:rFonts w:hint="eastAsia"/>
          <w:lang w:eastAsia="zh-CN"/>
        </w:rPr>
        <w:t>）</w:t>
      </w:r>
      <w:r>
        <w:rPr>
          <w:rFonts w:hint="eastAsia"/>
          <w:lang w:val="en-US" w:eastAsia="zh-CN"/>
        </w:rPr>
        <w:t>现场办公</w:t>
      </w:r>
      <w:r>
        <w:rPr>
          <w:rFonts w:hint="eastAsia"/>
          <w:lang w:eastAsia="zh-CN"/>
        </w:rPr>
        <w:t>：提供每年不少于30天的现场</w:t>
      </w:r>
      <w:r>
        <w:rPr>
          <w:rFonts w:hint="eastAsia"/>
          <w:lang w:val="en-US" w:eastAsia="zh-CN"/>
        </w:rPr>
        <w:t>现场办公</w:t>
      </w:r>
      <w:r>
        <w:rPr>
          <w:rFonts w:hint="eastAsia"/>
          <w:lang w:eastAsia="zh-CN"/>
        </w:rPr>
        <w:t>服务，</w:t>
      </w:r>
      <w:r>
        <w:rPr>
          <w:rFonts w:hint="eastAsia"/>
          <w:lang w:val="en-US" w:eastAsia="zh-CN"/>
        </w:rPr>
        <w:t>办公</w:t>
      </w:r>
      <w:r>
        <w:rPr>
          <w:rFonts w:hint="eastAsia"/>
          <w:lang w:eastAsia="zh-CN"/>
        </w:rPr>
        <w:t>人员需具备数据库管理或系统架构经验，负责日常巡检、故障预处理及用户现场支持；重点业务</w:t>
      </w:r>
      <w:r>
        <w:rPr>
          <w:rFonts w:hint="eastAsia"/>
          <w:lang w:val="en-US" w:eastAsia="zh-CN"/>
        </w:rPr>
        <w:t>支持</w:t>
      </w:r>
      <w:r>
        <w:rPr>
          <w:rFonts w:hint="eastAsia"/>
          <w:lang w:eastAsia="zh-CN"/>
        </w:rPr>
        <w:t>：在迎新、招聘、综合测评等关键业务周期（每次1-2周），安排技术人员全天候</w:t>
      </w:r>
      <w:r>
        <w:rPr>
          <w:rFonts w:hint="eastAsia"/>
          <w:lang w:val="en-US" w:eastAsia="zh-CN"/>
        </w:rPr>
        <w:t>现场办公</w:t>
      </w:r>
      <w:r>
        <w:rPr>
          <w:rFonts w:hint="eastAsia"/>
          <w:lang w:eastAsia="zh-CN"/>
        </w:rPr>
        <w:t>，保障系统稳定运行及业务连续性。（注：</w:t>
      </w:r>
      <w:r>
        <w:rPr>
          <w:rFonts w:hint="eastAsia"/>
          <w:lang w:val="en-US" w:eastAsia="zh-CN"/>
        </w:rPr>
        <w:t>办公</w:t>
      </w:r>
      <w:r>
        <w:rPr>
          <w:rFonts w:hint="eastAsia"/>
          <w:lang w:eastAsia="zh-CN"/>
        </w:rPr>
        <w:t>人员名单需在投标文件中明确，更换需提前7个工作日书面申请。）</w:t>
      </w:r>
    </w:p>
    <w:p w14:paraId="7ACA1CC2">
      <w:pPr>
        <w:pStyle w:val="4"/>
        <w:keepNext w:val="0"/>
        <w:keepLines w:val="0"/>
        <w:pageBreakBefore w:val="0"/>
        <w:widowControl w:val="0"/>
        <w:numPr>
          <w:ilvl w:val="0"/>
          <w:numId w:val="6"/>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新进人员培训服务：每年开学前为新进教职工和学生提供智慧校园系统（含人事一期、智慧资助平台、迎新系统等项目内系统）操作培训，培训次数不少于2次/年，每次培训时长不低于2小时，提供纸质版操作手册和线上视频教程。</w:t>
      </w:r>
    </w:p>
    <w:p w14:paraId="1181F043">
      <w:pPr>
        <w:pStyle w:val="4"/>
        <w:keepNext w:val="0"/>
        <w:keepLines w:val="0"/>
        <w:pageBreakBefore w:val="0"/>
        <w:widowControl w:val="0"/>
        <w:numPr>
          <w:ilvl w:val="0"/>
          <w:numId w:val="6"/>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对数据库故障进行处理，包括表空间满、数据库监听异常、数据库集群同步、数据表字符乱码、账户锁定等导致数据库不可用的问题，让数据库恢复使用；在应用系统出现不可用问题时，协助应用系统维护人员排查oracle数据库。</w:t>
      </w:r>
    </w:p>
    <w:p w14:paraId="6EEA89CD">
      <w:pPr>
        <w:pStyle w:val="3"/>
        <w:keepNext w:val="0"/>
        <w:keepLines w:val="0"/>
        <w:pageBreakBefore w:val="0"/>
        <w:widowControl w:val="0"/>
        <w:numPr>
          <w:ilvl w:val="0"/>
          <w:numId w:val="5"/>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运行维护期间，服务文档的要求</w:t>
      </w:r>
    </w:p>
    <w:p w14:paraId="1DCC6429">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1</w:t>
      </w:r>
      <w:r>
        <w:rPr>
          <w:rFonts w:hint="eastAsia"/>
          <w:lang w:eastAsia="zh-CN"/>
        </w:rPr>
        <w:t>）在整个服务过程均需要有文档记录，便于问题跟踪和分析；并对甲方提供各项服务报告。</w:t>
      </w:r>
    </w:p>
    <w:p w14:paraId="30E10050">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2</w:t>
      </w:r>
      <w:r>
        <w:rPr>
          <w:rFonts w:hint="eastAsia"/>
          <w:lang w:eastAsia="zh-CN"/>
        </w:rPr>
        <w:t>）问题处理报告：工程师在系统故障解决后将故障现象、故障判断过程、故障处理过程、故障造成的系统和应用的损失以及由于故障而改变的系统参数或对系统做的任何操作集中整理，形成最终的故障处理报告。该报告中提交给甲方留档保存。每月月报反馈给业务部门，并得到业务部门确认，业务部门老师对服务人员进行评分。</w:t>
      </w:r>
    </w:p>
    <w:p w14:paraId="5695A28B">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3</w:t>
      </w:r>
      <w:r>
        <w:rPr>
          <w:rFonts w:hint="eastAsia"/>
          <w:lang w:eastAsia="zh-CN"/>
        </w:rPr>
        <w:t>）定期巡检报告：工程师每季度对系统运行环境进行健康检测，并出具系统巡检报告。</w:t>
      </w:r>
    </w:p>
    <w:p w14:paraId="41A211BC">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4</w:t>
      </w:r>
      <w:r>
        <w:rPr>
          <w:rFonts w:hint="eastAsia"/>
          <w:lang w:eastAsia="zh-CN"/>
        </w:rPr>
        <w:t>）运行环境信息报告：记录系统的配置情况基本信息和运行的稳定性的相关资料，包括对以往系统维护的历史文档记录的积累。</w:t>
      </w:r>
    </w:p>
    <w:p w14:paraId="7D817E27">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eastAsia"/>
          <w:lang w:eastAsia="zh-CN"/>
        </w:rPr>
      </w:pPr>
      <w:r>
        <w:rPr>
          <w:rFonts w:hint="eastAsia"/>
          <w:lang w:eastAsia="zh-CN"/>
        </w:rPr>
        <w:t>（</w:t>
      </w:r>
      <w:r>
        <w:rPr>
          <w:rFonts w:hint="eastAsia"/>
          <w:lang w:val="en-US" w:eastAsia="zh-CN"/>
        </w:rPr>
        <w:t>5</w:t>
      </w:r>
      <w:r>
        <w:rPr>
          <w:rFonts w:hint="eastAsia"/>
          <w:lang w:eastAsia="zh-CN"/>
        </w:rPr>
        <w:t>）年度工作总结：在年度结束时，向甲方提供年度工作总结。总结一年内服务的主要成绩以及与甲方要求之间存在的差距。</w:t>
      </w:r>
    </w:p>
    <w:p w14:paraId="63CD3DCE">
      <w:pPr>
        <w:pStyle w:val="3"/>
        <w:keepNext w:val="0"/>
        <w:keepLines w:val="0"/>
        <w:pageBreakBefore w:val="0"/>
        <w:widowControl w:val="0"/>
        <w:numPr>
          <w:ilvl w:val="0"/>
          <w:numId w:val="5"/>
        </w:numPr>
        <w:kinsoku/>
        <w:wordWrap/>
        <w:overflowPunct/>
        <w:topLinePunct w:val="0"/>
        <w:autoSpaceDE/>
        <w:autoSpaceDN/>
        <w:bidi w:val="0"/>
        <w:adjustRightInd w:val="0"/>
        <w:snapToGrid/>
        <w:spacing w:line="400" w:lineRule="exact"/>
        <w:ind w:firstLine="480" w:firstLineChars="200"/>
        <w:jc w:val="left"/>
        <w:textAlignment w:val="baseline"/>
        <w:rPr>
          <w:rFonts w:hint="default"/>
          <w:lang w:val="en-US" w:eastAsia="zh-CN"/>
        </w:rPr>
      </w:pPr>
      <w:r>
        <w:rPr>
          <w:rFonts w:hint="eastAsia"/>
          <w:lang w:val="en-US" w:eastAsia="zh-CN"/>
        </w:rPr>
        <w:t>验收流程</w:t>
      </w:r>
    </w:p>
    <w:p w14:paraId="43AB8F30">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default"/>
          <w:lang w:val="en-US" w:eastAsia="zh-CN"/>
        </w:rPr>
      </w:pPr>
      <w:r>
        <w:rPr>
          <w:rFonts w:hint="eastAsia"/>
          <w:lang w:val="en-US" w:eastAsia="zh-CN"/>
        </w:rPr>
        <w:t>（1）</w:t>
      </w:r>
      <w:r>
        <w:rPr>
          <w:rFonts w:hint="default"/>
          <w:lang w:val="en-US" w:eastAsia="zh-CN"/>
        </w:rPr>
        <w:t>阶段性检查：每季度末，甲方根据乙方提交的《季度运行服务报告》《系统巡检报告》及故障处理记录，对服务质量进行阶段性评估，重点检查响应时效、问题解决率及文档完整性。</w:t>
      </w:r>
    </w:p>
    <w:p w14:paraId="022BD980">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default"/>
          <w:lang w:val="en-US" w:eastAsia="zh-CN"/>
        </w:rPr>
      </w:pPr>
      <w:r>
        <w:rPr>
          <w:rFonts w:hint="eastAsia"/>
          <w:lang w:val="en-US" w:eastAsia="zh-CN"/>
        </w:rPr>
        <w:t>（2）</w:t>
      </w:r>
      <w:r>
        <w:rPr>
          <w:rFonts w:hint="default"/>
          <w:lang w:val="en-US" w:eastAsia="zh-CN"/>
        </w:rPr>
        <w:t>最终验收：服务期满后，乙方需提交《年度运维服务报告》《功能优化报告》及《用户满意度调查结果》（满意度需≥90%）。甲方组织业务部门、信息管理中心等组成验收小组，从以下维度进行综合评价：</w:t>
      </w:r>
    </w:p>
    <w:p w14:paraId="5795CB2D">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default"/>
          <w:lang w:val="en-US" w:eastAsia="zh-CN"/>
        </w:rPr>
      </w:pPr>
      <w:r>
        <w:rPr>
          <w:rFonts w:hint="default"/>
          <w:lang w:val="en-US" w:eastAsia="zh-CN"/>
        </w:rPr>
        <w:t>服务响应及时性（占30%）：以故障响应记录和</w:t>
      </w:r>
      <w:r>
        <w:rPr>
          <w:rFonts w:hint="eastAsia"/>
          <w:lang w:val="en-US" w:eastAsia="zh-CN"/>
        </w:rPr>
        <w:t>现场办公</w:t>
      </w:r>
      <w:r>
        <w:rPr>
          <w:rFonts w:hint="default"/>
          <w:lang w:val="en-US" w:eastAsia="zh-CN"/>
        </w:rPr>
        <w:t>服务考勤为准；</w:t>
      </w:r>
    </w:p>
    <w:p w14:paraId="1F83D919">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default"/>
          <w:lang w:val="en-US" w:eastAsia="zh-CN"/>
        </w:rPr>
      </w:pPr>
      <w:r>
        <w:rPr>
          <w:rFonts w:hint="default"/>
          <w:lang w:val="en-US" w:eastAsia="zh-CN"/>
        </w:rPr>
        <w:t>问题解决率（占30%）：统计全年故障闭环率（需≥95%）；</w:t>
      </w:r>
    </w:p>
    <w:p w14:paraId="7A4DEA55">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default"/>
          <w:lang w:val="en-US" w:eastAsia="zh-CN"/>
        </w:rPr>
      </w:pPr>
      <w:r>
        <w:rPr>
          <w:rFonts w:hint="default"/>
          <w:lang w:val="en-US" w:eastAsia="zh-CN"/>
        </w:rPr>
        <w:t>文档完整性（占20%）：需提交完整的故障处理报告、巡检报告、培训记录等；</w:t>
      </w:r>
    </w:p>
    <w:p w14:paraId="45AC1C51">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default"/>
          <w:lang w:val="en-US" w:eastAsia="zh-CN"/>
        </w:rPr>
      </w:pPr>
      <w:r>
        <w:rPr>
          <w:rFonts w:hint="default"/>
          <w:lang w:val="en-US" w:eastAsia="zh-CN"/>
        </w:rPr>
        <w:t>功能优化成效（占20%）：评估年度功能改进是否满足业务需求。</w:t>
      </w:r>
    </w:p>
    <w:p w14:paraId="0C12E296">
      <w:pPr>
        <w:pStyle w:val="3"/>
        <w:keepNext w:val="0"/>
        <w:keepLines w:val="0"/>
        <w:pageBreakBefore w:val="0"/>
        <w:widowControl w:val="0"/>
        <w:numPr>
          <w:ilvl w:val="0"/>
          <w:numId w:val="5"/>
        </w:numPr>
        <w:kinsoku/>
        <w:wordWrap/>
        <w:overflowPunct/>
        <w:topLinePunct w:val="0"/>
        <w:autoSpaceDE/>
        <w:autoSpaceDN/>
        <w:bidi w:val="0"/>
        <w:adjustRightInd w:val="0"/>
        <w:snapToGrid/>
        <w:spacing w:line="400" w:lineRule="exact"/>
        <w:ind w:firstLine="480" w:firstLineChars="200"/>
        <w:jc w:val="left"/>
        <w:textAlignment w:val="baseline"/>
        <w:rPr>
          <w:rFonts w:hint="default"/>
          <w:lang w:val="en-US" w:eastAsia="zh-CN"/>
        </w:rPr>
      </w:pPr>
      <w:r>
        <w:rPr>
          <w:rFonts w:hint="eastAsia"/>
          <w:lang w:val="en-US" w:eastAsia="zh-CN"/>
        </w:rPr>
        <w:t>付款条件</w:t>
      </w:r>
    </w:p>
    <w:p w14:paraId="1EABA89E">
      <w:pPr>
        <w:pStyle w:val="4"/>
        <w:keepNext w:val="0"/>
        <w:keepLines w:val="0"/>
        <w:pageBreakBefore w:val="0"/>
        <w:widowControl w:val="0"/>
        <w:numPr>
          <w:ilvl w:val="2"/>
          <w:numId w:val="0"/>
        </w:numPr>
        <w:kinsoku/>
        <w:wordWrap/>
        <w:overflowPunct/>
        <w:topLinePunct w:val="0"/>
        <w:autoSpaceDE/>
        <w:autoSpaceDN/>
        <w:bidi w:val="0"/>
        <w:adjustRightInd w:val="0"/>
        <w:snapToGrid/>
        <w:spacing w:line="400" w:lineRule="exact"/>
        <w:ind w:firstLine="480" w:firstLineChars="200"/>
        <w:jc w:val="left"/>
        <w:textAlignment w:val="baseline"/>
        <w:rPr>
          <w:rFonts w:hint="default"/>
          <w:lang w:val="en-US" w:eastAsia="zh-CN"/>
        </w:rPr>
      </w:pPr>
      <w:r>
        <w:rPr>
          <w:rFonts w:hint="default"/>
          <w:lang w:val="en-US" w:eastAsia="zh-CN"/>
        </w:rPr>
        <w:t>最终验收合格后：根据服务评价结果支付剩余款项（评价得分≥90分，全额支付；80-89分，支付95%；低于80分，按实际情况扣除部分费用）。</w:t>
      </w:r>
    </w:p>
    <w:p w14:paraId="6CA16DCD">
      <w:pPr>
        <w:ind w:firstLine="420" w:firstLineChars="0"/>
        <w:rPr>
          <w:rFonts w:hint="default"/>
          <w:lang w:val="en-US" w:eastAsia="zh-CN"/>
        </w:rPr>
      </w:pPr>
    </w:p>
    <w:p w14:paraId="7EC4074F">
      <w:pPr>
        <w:wordWrap w:val="0"/>
        <w:spacing w:line="360" w:lineRule="auto"/>
        <w:rPr>
          <w:rFonts w:ascii="宋体" w:hAnsi="宋体" w:eastAsia="宋体" w:cs="宋体"/>
          <w:bCs/>
          <w:sz w:val="24"/>
          <w:szCs w:val="24"/>
        </w:rPr>
      </w:pPr>
      <w:r>
        <w:rPr>
          <w:rFonts w:hint="eastAsia" w:ascii="宋体" w:hAnsi="宋体" w:eastAsia="宋体" w:cs="宋体"/>
          <w:bCs/>
          <w:sz w:val="24"/>
          <w:szCs w:val="24"/>
        </w:rPr>
        <w:br w:type="page"/>
      </w:r>
      <w:r>
        <w:rPr>
          <w:rFonts w:hint="eastAsia" w:ascii="Arial" w:hAnsi="Arial" w:eastAsia="宋体" w:cs="Arial"/>
          <w:b/>
          <w:sz w:val="28"/>
          <w:szCs w:val="28"/>
          <w:lang w:val="en-US" w:eastAsia="zh-CN"/>
        </w:rPr>
        <w:t>三、评分办法</w:t>
      </w:r>
    </w:p>
    <w:tbl>
      <w:tblPr>
        <w:tblStyle w:val="1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21"/>
        <w:gridCol w:w="1795"/>
        <w:gridCol w:w="4906"/>
      </w:tblGrid>
      <w:tr w14:paraId="0DAA0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68" w:type="pct"/>
            <w:tcBorders>
              <w:top w:val="single" w:color="000000" w:themeColor="dark1" w:sz="6" w:space="0"/>
              <w:left w:val="single" w:color="000000" w:themeColor="dark1" w:sz="6" w:space="0"/>
              <w:bottom w:val="single" w:color="000000" w:themeColor="dark1" w:sz="6" w:space="0"/>
              <w:right w:val="single" w:color="999999" w:themeColor="dark1" w:themeTint="66" w:sz="6" w:space="0"/>
            </w:tcBorders>
            <w:shd w:val="clear" w:color="auto" w:fill="000000" w:themeFill="dark1"/>
            <w:noWrap w:val="0"/>
            <w:vAlign w:val="center"/>
          </w:tcPr>
          <w:p w14:paraId="3D25943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i w:val="0"/>
                <w:color w:val="FFFFFF"/>
                <w:sz w:val="24"/>
                <w:szCs w:val="24"/>
                <w:lang w:val="zh-TW" w:eastAsia="zh-TW"/>
              </w:rPr>
            </w:pPr>
            <w:r>
              <w:rPr>
                <w:rFonts w:hint="eastAsia" w:ascii="宋体" w:hAnsi="宋体" w:eastAsia="宋体" w:cs="宋体"/>
                <w:b/>
                <w:i w:val="0"/>
                <w:color w:val="FFFFFF"/>
                <w:sz w:val="24"/>
                <w:szCs w:val="24"/>
                <w:lang w:val="zh-TW" w:eastAsia="zh-TW"/>
              </w:rPr>
              <w:t>评标项目</w:t>
            </w:r>
          </w:p>
        </w:tc>
        <w:tc>
          <w:tcPr>
            <w:tcW w:w="1053" w:type="pct"/>
            <w:tcBorders>
              <w:top w:val="single" w:color="000000" w:themeColor="dark1" w:sz="6" w:space="0"/>
              <w:left w:val="single" w:color="999999" w:themeColor="dark1" w:themeTint="66" w:sz="6" w:space="0"/>
              <w:bottom w:val="single" w:color="000000" w:themeColor="dark1" w:sz="6" w:space="0"/>
              <w:right w:val="single" w:color="999999" w:themeColor="dark1" w:themeTint="66" w:sz="6" w:space="0"/>
            </w:tcBorders>
            <w:shd w:val="clear" w:color="auto" w:fill="000000" w:themeFill="dark1"/>
            <w:noWrap w:val="0"/>
            <w:vAlign w:val="center"/>
          </w:tcPr>
          <w:p w14:paraId="431B2D0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i w:val="0"/>
                <w:color w:val="FFFFFF"/>
                <w:sz w:val="24"/>
                <w:szCs w:val="24"/>
                <w:lang w:val="zh-TW" w:eastAsia="zh-TW"/>
              </w:rPr>
            </w:pPr>
            <w:r>
              <w:rPr>
                <w:rFonts w:hint="eastAsia" w:ascii="宋体" w:hAnsi="宋体" w:eastAsia="宋体" w:cs="宋体"/>
                <w:b/>
                <w:i w:val="0"/>
                <w:color w:val="FFFFFF"/>
                <w:sz w:val="24"/>
                <w:szCs w:val="24"/>
                <w:lang w:val="zh-TW" w:eastAsia="zh-TW"/>
              </w:rPr>
              <w:t>评标分值</w:t>
            </w:r>
          </w:p>
        </w:tc>
        <w:tc>
          <w:tcPr>
            <w:tcW w:w="2877" w:type="pct"/>
            <w:tcBorders>
              <w:top w:val="single" w:color="000000" w:themeColor="dark1" w:sz="6" w:space="0"/>
              <w:left w:val="single" w:color="999999" w:themeColor="dark1" w:themeTint="66" w:sz="6" w:space="0"/>
              <w:bottom w:val="single" w:color="000000" w:themeColor="dark1" w:sz="6" w:space="0"/>
              <w:right w:val="single" w:color="000000" w:themeColor="dark1" w:sz="6" w:space="0"/>
            </w:tcBorders>
            <w:shd w:val="clear" w:color="auto" w:fill="000000" w:themeFill="dark1"/>
            <w:noWrap w:val="0"/>
            <w:vAlign w:val="center"/>
          </w:tcPr>
          <w:p w14:paraId="446EA46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i w:val="0"/>
                <w:color w:val="FFFFFF"/>
                <w:sz w:val="24"/>
                <w:szCs w:val="24"/>
                <w:lang w:val="zh-TW" w:eastAsia="zh-TW"/>
              </w:rPr>
            </w:pPr>
            <w:r>
              <w:rPr>
                <w:rFonts w:hint="eastAsia" w:ascii="宋体" w:hAnsi="宋体" w:eastAsia="宋体" w:cs="宋体"/>
                <w:b/>
                <w:i w:val="0"/>
                <w:color w:val="FFFFFF"/>
                <w:sz w:val="24"/>
                <w:szCs w:val="24"/>
                <w:lang w:val="zh-TW" w:eastAsia="zh-TW"/>
              </w:rPr>
              <w:t>评标方法描述</w:t>
            </w:r>
          </w:p>
        </w:tc>
      </w:tr>
      <w:tr w14:paraId="0C0B8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68" w:type="pct"/>
            <w:tcBorders>
              <w:top w:val="single" w:color="000000" w:themeColor="dark1"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14:paraId="7BC0A6C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投标报价</w:t>
            </w:r>
          </w:p>
        </w:tc>
        <w:tc>
          <w:tcPr>
            <w:tcW w:w="1053" w:type="pct"/>
            <w:tcBorders>
              <w:top w:val="single" w:color="000000" w:themeColor="dark1"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14:paraId="5B0ABD4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20</w:t>
            </w:r>
          </w:p>
        </w:tc>
        <w:tc>
          <w:tcPr>
            <w:tcW w:w="2877" w:type="pct"/>
            <w:tcBorders>
              <w:top w:val="single" w:color="000000" w:themeColor="dark1"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14:paraId="63CC39E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价格分统一采用低价优先法，即满足磋商文件要求且最后报价最低的供应商的价格为磋商基准价，其价格分为满分</w:t>
            </w:r>
            <w:r>
              <w:rPr>
                <w:rFonts w:hint="eastAsia" w:ascii="宋体" w:hAnsi="宋体" w:eastAsia="宋体" w:cs="宋体"/>
                <w:b w:val="0"/>
                <w:i w:val="0"/>
                <w:color w:val="000000"/>
                <w:sz w:val="24"/>
                <w:szCs w:val="24"/>
                <w:lang w:val="en-US" w:eastAsia="zh-CN"/>
              </w:rPr>
              <w:t>20</w:t>
            </w:r>
            <w:r>
              <w:rPr>
                <w:rFonts w:hint="eastAsia" w:ascii="宋体" w:hAnsi="宋体" w:eastAsia="宋体" w:cs="宋体"/>
                <w:b w:val="0"/>
                <w:i w:val="0"/>
                <w:color w:val="000000"/>
                <w:sz w:val="24"/>
                <w:szCs w:val="24"/>
                <w:lang w:val="zh-TW" w:eastAsia="zh-TW"/>
              </w:rPr>
              <w:t>分。其他供应商的价格分统一按照下列公式计算：</w:t>
            </w:r>
          </w:p>
          <w:p w14:paraId="3CC6FE2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磋商报价得分＝（磋商基准价/最后磋商报价）×</w:t>
            </w:r>
            <w:r>
              <w:rPr>
                <w:rFonts w:hint="eastAsia" w:ascii="宋体" w:hAnsi="宋体" w:eastAsia="宋体" w:cs="宋体"/>
                <w:b w:val="0"/>
                <w:i w:val="0"/>
                <w:color w:val="000000"/>
                <w:sz w:val="24"/>
                <w:szCs w:val="24"/>
                <w:lang w:val="en-US" w:eastAsia="zh-CN"/>
              </w:rPr>
              <w:t>20</w:t>
            </w:r>
            <w:r>
              <w:rPr>
                <w:rFonts w:hint="eastAsia" w:ascii="宋体" w:hAnsi="宋体" w:eastAsia="宋体" w:cs="宋体"/>
                <w:b w:val="0"/>
                <w:i w:val="0"/>
                <w:color w:val="000000"/>
                <w:sz w:val="24"/>
                <w:szCs w:val="24"/>
                <w:lang w:val="zh-TW" w:eastAsia="zh-TW"/>
              </w:rPr>
              <w:t>％×100</w:t>
            </w:r>
          </w:p>
        </w:tc>
      </w:tr>
      <w:tr w14:paraId="1DD69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68" w:type="pct"/>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14:paraId="6E04C41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供应商综合实力</w:t>
            </w:r>
          </w:p>
        </w:tc>
        <w:tc>
          <w:tcPr>
            <w:tcW w:w="1053" w:type="pct"/>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14:paraId="7589053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i w:val="0"/>
                <w:color w:val="000000"/>
                <w:sz w:val="24"/>
                <w:szCs w:val="24"/>
                <w:lang w:val="zh-TW" w:eastAsia="zh-CN"/>
              </w:rPr>
            </w:pPr>
            <w:r>
              <w:rPr>
                <w:rFonts w:hint="eastAsia" w:ascii="宋体" w:hAnsi="宋体" w:eastAsia="宋体" w:cs="宋体"/>
                <w:b w:val="0"/>
                <w:i w:val="0"/>
                <w:color w:val="000000"/>
                <w:sz w:val="24"/>
                <w:szCs w:val="24"/>
                <w:lang w:val="en-US" w:eastAsia="zh-CN"/>
              </w:rPr>
              <w:t>6</w:t>
            </w:r>
          </w:p>
        </w:tc>
        <w:tc>
          <w:tcPr>
            <w:tcW w:w="2877" w:type="pct"/>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14:paraId="46AAF31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1.资质认证（6分）：</w:t>
            </w:r>
          </w:p>
          <w:p w14:paraId="36B3A2C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-具有ITSS运维认证（二级及以上）得2分，三级得1分；</w:t>
            </w:r>
          </w:p>
          <w:p w14:paraId="139323F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-具有信息系统业务安全服务资质（三级及以上）得2分；</w:t>
            </w:r>
          </w:p>
          <w:p w14:paraId="069B34E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-具有数据安全管理认证（如DSMC、ISO27001数据专项）得2分。</w:t>
            </w:r>
          </w:p>
          <w:p w14:paraId="6E0228CC">
            <w:pPr>
              <w:spacing w:line="360" w:lineRule="auto"/>
              <w:rPr>
                <w:rFonts w:hint="eastAsia" w:ascii="宋体" w:hAnsi="宋体" w:eastAsia="宋体" w:cs="宋体"/>
                <w:b w:val="0"/>
                <w:i w:val="0"/>
                <w:color w:val="000000"/>
                <w:sz w:val="24"/>
                <w:szCs w:val="24"/>
                <w:lang w:val="zh-TW" w:eastAsia="zh-TW"/>
              </w:rPr>
            </w:pPr>
            <w:r>
              <w:rPr>
                <w:rFonts w:hint="eastAsia" w:ascii="宋体" w:hAnsi="宋体" w:eastAsia="宋体" w:cs="宋体"/>
                <w:b/>
                <w:sz w:val="24"/>
                <w:szCs w:val="24"/>
              </w:rPr>
              <w:t>注：响应文件中提供全国认证认可信息公共服务平台的证书信息查询截图，未提供或提供不全不得分。</w:t>
            </w:r>
          </w:p>
        </w:tc>
      </w:tr>
      <w:tr w14:paraId="59ACC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68" w:type="pct"/>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14:paraId="49B6128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供应商业绩</w:t>
            </w:r>
          </w:p>
        </w:tc>
        <w:tc>
          <w:tcPr>
            <w:tcW w:w="1053" w:type="pct"/>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14:paraId="55B466D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6</w:t>
            </w:r>
          </w:p>
        </w:tc>
        <w:tc>
          <w:tcPr>
            <w:tcW w:w="2877" w:type="pct"/>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14:paraId="067C5D0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需提供已签订的软件运维服务合同，每提供1项软件运维服务合同得3分，最多6分。（投标文件中须提供业绩合同，签订时间及金额以业绩合同为准，复印件或扫描件应能辨识买卖双方公章、签订时间，并加盖供应商公章；如业绩合同不能体现以上全部内容则不得分）</w:t>
            </w:r>
          </w:p>
        </w:tc>
      </w:tr>
      <w:tr w14:paraId="5BE56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68" w:type="pct"/>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14:paraId="60C5C2D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运维技术方案</w:t>
            </w:r>
          </w:p>
        </w:tc>
        <w:tc>
          <w:tcPr>
            <w:tcW w:w="1053" w:type="pct"/>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14:paraId="3B6EE34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24</w:t>
            </w:r>
          </w:p>
        </w:tc>
        <w:tc>
          <w:tcPr>
            <w:tcW w:w="2877" w:type="pct"/>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14:paraId="4110ECE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en-US" w:eastAsia="zh-CN"/>
              </w:rPr>
              <w:t>1.需求理解与方案完整性（6分）</w:t>
            </w:r>
          </w:p>
          <w:p w14:paraId="5F83E5A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 对系统维护需求理解准确，方案覆盖（如</w:t>
            </w:r>
            <w:r>
              <w:rPr>
                <w:rFonts w:hint="eastAsia" w:ascii="宋体" w:hAnsi="宋体" w:eastAsia="宋体" w:cs="宋体"/>
                <w:b w:val="0"/>
                <w:i w:val="0"/>
                <w:color w:val="000000"/>
                <w:sz w:val="24"/>
                <w:szCs w:val="24"/>
                <w:lang w:val="en-US" w:eastAsia="zh-CN"/>
              </w:rPr>
              <w:t>现场办公</w:t>
            </w:r>
            <w:r>
              <w:rPr>
                <w:rFonts w:hint="eastAsia" w:ascii="宋体" w:hAnsi="宋体" w:eastAsia="宋体" w:cs="宋体"/>
                <w:b w:val="0"/>
                <w:i w:val="0"/>
                <w:color w:val="000000"/>
                <w:sz w:val="24"/>
                <w:szCs w:val="24"/>
                <w:lang w:val="zh-TW" w:eastAsia="zh-TW"/>
              </w:rPr>
              <w:t>、响应时间、功能优化），得 6 分；</w:t>
            </w:r>
          </w:p>
          <w:p w14:paraId="5AB91FB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 理解基本准确，方案</w:t>
            </w:r>
            <w:r>
              <w:rPr>
                <w:rFonts w:hint="eastAsia" w:ascii="宋体" w:hAnsi="宋体" w:eastAsia="宋体" w:cs="宋体"/>
                <w:b w:val="0"/>
                <w:i w:val="0"/>
                <w:color w:val="000000"/>
                <w:sz w:val="24"/>
                <w:szCs w:val="24"/>
                <w:lang w:val="en-US" w:eastAsia="zh-CN"/>
              </w:rPr>
              <w:t>有</w:t>
            </w:r>
            <w:r>
              <w:rPr>
                <w:rFonts w:hint="eastAsia" w:ascii="宋体" w:hAnsi="宋体" w:eastAsia="宋体" w:cs="宋体"/>
                <w:b w:val="0"/>
                <w:i w:val="0"/>
                <w:color w:val="000000"/>
                <w:sz w:val="24"/>
                <w:szCs w:val="24"/>
                <w:lang w:val="zh-TW" w:eastAsia="zh-TW"/>
              </w:rPr>
              <w:t>缺漏，得</w:t>
            </w:r>
            <w:r>
              <w:rPr>
                <w:rFonts w:hint="eastAsia" w:ascii="宋体" w:hAnsi="宋体" w:eastAsia="宋体" w:cs="宋体"/>
                <w:b w:val="0"/>
                <w:i w:val="0"/>
                <w:color w:val="000000"/>
                <w:sz w:val="24"/>
                <w:szCs w:val="24"/>
                <w:lang w:val="en-US" w:eastAsia="zh-CN"/>
              </w:rPr>
              <w:t>4</w:t>
            </w:r>
            <w:r>
              <w:rPr>
                <w:rFonts w:hint="eastAsia" w:ascii="宋体" w:hAnsi="宋体" w:eastAsia="宋体" w:cs="宋体"/>
                <w:b w:val="0"/>
                <w:i w:val="0"/>
                <w:color w:val="000000"/>
                <w:sz w:val="24"/>
                <w:szCs w:val="24"/>
                <w:lang w:val="zh-TW" w:eastAsia="zh-TW"/>
              </w:rPr>
              <w:t>分；</w:t>
            </w:r>
          </w:p>
          <w:p w14:paraId="1079011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 未覆盖核心需求，得</w:t>
            </w:r>
            <w:r>
              <w:rPr>
                <w:rFonts w:hint="eastAsia" w:ascii="宋体" w:hAnsi="宋体" w:eastAsia="宋体" w:cs="宋体"/>
                <w:b w:val="0"/>
                <w:i w:val="0"/>
                <w:color w:val="000000"/>
                <w:sz w:val="24"/>
                <w:szCs w:val="24"/>
                <w:lang w:val="en-US" w:eastAsia="zh-CN"/>
              </w:rPr>
              <w:t>2</w:t>
            </w:r>
            <w:r>
              <w:rPr>
                <w:rFonts w:hint="eastAsia" w:ascii="宋体" w:hAnsi="宋体" w:eastAsia="宋体" w:cs="宋体"/>
                <w:b w:val="0"/>
                <w:i w:val="0"/>
                <w:color w:val="000000"/>
                <w:sz w:val="24"/>
                <w:szCs w:val="24"/>
                <w:lang w:val="zh-TW" w:eastAsia="zh-TW"/>
              </w:rPr>
              <w:t>分。</w:t>
            </w:r>
          </w:p>
          <w:p w14:paraId="4E742C9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w:t>
            </w:r>
            <w:r>
              <w:rPr>
                <w:rFonts w:hint="eastAsia" w:ascii="宋体" w:hAnsi="宋体" w:eastAsia="宋体" w:cs="宋体"/>
                <w:b w:val="0"/>
                <w:i w:val="0"/>
                <w:color w:val="000000"/>
                <w:sz w:val="24"/>
                <w:szCs w:val="24"/>
                <w:lang w:val="en-US" w:eastAsia="zh-CN"/>
              </w:rPr>
              <w:t xml:space="preserve"> </w:t>
            </w:r>
            <w:r>
              <w:rPr>
                <w:rFonts w:hint="eastAsia" w:ascii="宋体" w:hAnsi="宋体" w:eastAsia="宋体" w:cs="宋体"/>
                <w:b w:val="0"/>
                <w:i w:val="0"/>
                <w:color w:val="000000"/>
                <w:sz w:val="24"/>
                <w:szCs w:val="24"/>
                <w:lang w:val="zh-TW" w:eastAsia="zh-TW"/>
              </w:rPr>
              <w:t>无方案不得分。</w:t>
            </w:r>
          </w:p>
          <w:p w14:paraId="7508F92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2.服务模式与响应机制（6分）</w:t>
            </w:r>
          </w:p>
          <w:p w14:paraId="11BF64C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 承诺故障响应时间（一级/二级2小时响应、4小时到场），得3分；</w:t>
            </w:r>
          </w:p>
          <w:p w14:paraId="7E6BE2E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 提供</w:t>
            </w:r>
            <w:r>
              <w:rPr>
                <w:rFonts w:hint="eastAsia" w:ascii="宋体" w:hAnsi="宋体" w:eastAsia="宋体" w:cs="宋体"/>
                <w:b w:val="0"/>
                <w:i w:val="0"/>
                <w:color w:val="000000"/>
                <w:sz w:val="24"/>
                <w:szCs w:val="24"/>
                <w:lang w:val="en-US" w:eastAsia="zh-CN"/>
              </w:rPr>
              <w:t>现场</w:t>
            </w:r>
            <w:r>
              <w:rPr>
                <w:rFonts w:hint="eastAsia" w:ascii="宋体" w:hAnsi="宋体" w:eastAsia="宋体" w:cs="宋体"/>
                <w:b w:val="0"/>
                <w:i w:val="0"/>
                <w:color w:val="000000"/>
                <w:sz w:val="24"/>
                <w:szCs w:val="24"/>
                <w:lang w:val="zh-TW" w:eastAsia="zh-TW"/>
              </w:rPr>
              <w:t>服务方案（30天常规+重点业务周期</w:t>
            </w:r>
            <w:bookmarkStart w:id="1" w:name="_GoBack"/>
            <w:bookmarkEnd w:id="1"/>
            <w:r>
              <w:rPr>
                <w:rFonts w:hint="eastAsia" w:ascii="宋体" w:hAnsi="宋体" w:eastAsia="宋体" w:cs="宋体"/>
                <w:b w:val="0"/>
                <w:i w:val="0"/>
                <w:color w:val="000000"/>
                <w:sz w:val="24"/>
                <w:szCs w:val="24"/>
                <w:lang w:val="zh-TW" w:eastAsia="zh-TW"/>
              </w:rPr>
              <w:t>驻场），得3分；</w:t>
            </w:r>
          </w:p>
          <w:p w14:paraId="6B79F7E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 未完全满足，每项扣3分。</w:t>
            </w:r>
          </w:p>
          <w:p w14:paraId="5A061D7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3.售后进度管控（6分）</w:t>
            </w:r>
          </w:p>
          <w:p w14:paraId="5624B50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-管理工具具备任务分配、节点跟踪、人员协同功能，且支持采购人实时查询进度，得6分；</w:t>
            </w:r>
          </w:p>
          <w:p w14:paraId="42F4CBD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-工具功能完整但不支持实时查询，得3分；</w:t>
            </w:r>
          </w:p>
          <w:p w14:paraId="0CE7AAE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-工具功能缺失或无方案，得0分。</w:t>
            </w:r>
          </w:p>
          <w:p w14:paraId="559C0EA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4.资源配置合理性（6分）：</w:t>
            </w:r>
          </w:p>
          <w:p w14:paraId="30BD8E9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-团队人员结构合理（含一线工程师、技术专家），职责分工明确，得6分；</w:t>
            </w:r>
          </w:p>
          <w:p w14:paraId="3173A6A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-人员配置基本满足需求，得3分；</w:t>
            </w:r>
          </w:p>
          <w:p w14:paraId="67771E4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en-US" w:eastAsia="zh-CN"/>
              </w:rPr>
              <w:t>-配置单一或无说明，得0分。</w:t>
            </w:r>
          </w:p>
        </w:tc>
      </w:tr>
      <w:tr w14:paraId="6BB00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68" w:type="pct"/>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14:paraId="6A64C3F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运维服务能力支撑</w:t>
            </w:r>
          </w:p>
        </w:tc>
        <w:tc>
          <w:tcPr>
            <w:tcW w:w="1053" w:type="pct"/>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14:paraId="70E3D0A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zh-TW" w:eastAsia="zh-TW"/>
              </w:rPr>
              <w:t>1</w:t>
            </w:r>
            <w:r>
              <w:rPr>
                <w:rFonts w:hint="eastAsia" w:ascii="宋体" w:hAnsi="宋体" w:eastAsia="宋体" w:cs="宋体"/>
                <w:b w:val="0"/>
                <w:i w:val="0"/>
                <w:color w:val="000000"/>
                <w:sz w:val="24"/>
                <w:szCs w:val="24"/>
                <w:lang w:val="en-US" w:eastAsia="zh-CN"/>
              </w:rPr>
              <w:t>8</w:t>
            </w:r>
          </w:p>
        </w:tc>
        <w:tc>
          <w:tcPr>
            <w:tcW w:w="2877" w:type="pct"/>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14:paraId="4B28276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1.数据平台监控（</w:t>
            </w:r>
            <w:r>
              <w:rPr>
                <w:rFonts w:hint="eastAsia" w:ascii="宋体" w:hAnsi="宋体" w:eastAsia="宋体" w:cs="宋体"/>
                <w:b w:val="0"/>
                <w:i w:val="0"/>
                <w:color w:val="000000"/>
                <w:sz w:val="24"/>
                <w:szCs w:val="24"/>
                <w:lang w:val="en-US" w:eastAsia="zh-CN"/>
              </w:rPr>
              <w:t>6</w:t>
            </w:r>
            <w:r>
              <w:rPr>
                <w:rFonts w:hint="eastAsia" w:ascii="宋体" w:hAnsi="宋体" w:eastAsia="宋体" w:cs="宋体"/>
                <w:b w:val="0"/>
                <w:i w:val="0"/>
                <w:color w:val="000000"/>
                <w:sz w:val="24"/>
                <w:szCs w:val="24"/>
                <w:lang w:val="zh-TW" w:eastAsia="zh-TW"/>
              </w:rPr>
              <w:t>分）：</w:t>
            </w:r>
          </w:p>
          <w:p w14:paraId="1AE80EB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-提供全链路监控方案（URL响应、中间件、数据库），含故障定位案例，得</w:t>
            </w:r>
            <w:r>
              <w:rPr>
                <w:rFonts w:hint="eastAsia" w:ascii="宋体" w:hAnsi="宋体" w:eastAsia="宋体" w:cs="宋体"/>
                <w:b w:val="0"/>
                <w:i w:val="0"/>
                <w:color w:val="000000"/>
                <w:sz w:val="24"/>
                <w:szCs w:val="24"/>
                <w:lang w:val="en-US" w:eastAsia="zh-CN"/>
              </w:rPr>
              <w:t>6</w:t>
            </w:r>
            <w:r>
              <w:rPr>
                <w:rFonts w:hint="eastAsia" w:ascii="宋体" w:hAnsi="宋体" w:eastAsia="宋体" w:cs="宋体"/>
                <w:b w:val="0"/>
                <w:i w:val="0"/>
                <w:color w:val="000000"/>
                <w:sz w:val="24"/>
                <w:szCs w:val="24"/>
                <w:lang w:val="zh-TW" w:eastAsia="zh-TW"/>
              </w:rPr>
              <w:t>分；</w:t>
            </w:r>
          </w:p>
          <w:p w14:paraId="51324FF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-监控方案基本覆盖核心环节，得3分；</w:t>
            </w:r>
          </w:p>
          <w:p w14:paraId="350C46F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-无相关内容，得0分。</w:t>
            </w:r>
          </w:p>
          <w:p w14:paraId="65949F5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2.应用运行分析（</w:t>
            </w:r>
            <w:r>
              <w:rPr>
                <w:rFonts w:hint="eastAsia" w:ascii="宋体" w:hAnsi="宋体" w:eastAsia="宋体" w:cs="宋体"/>
                <w:b w:val="0"/>
                <w:i w:val="0"/>
                <w:color w:val="000000"/>
                <w:sz w:val="24"/>
                <w:szCs w:val="24"/>
                <w:lang w:val="en-US" w:eastAsia="zh-CN"/>
              </w:rPr>
              <w:t>6</w:t>
            </w:r>
            <w:r>
              <w:rPr>
                <w:rFonts w:hint="eastAsia" w:ascii="宋体" w:hAnsi="宋体" w:eastAsia="宋体" w:cs="宋体"/>
                <w:b w:val="0"/>
                <w:i w:val="0"/>
                <w:color w:val="000000"/>
                <w:sz w:val="24"/>
                <w:szCs w:val="24"/>
                <w:lang w:val="zh-TW" w:eastAsia="zh-TW"/>
              </w:rPr>
              <w:t>分）：</w:t>
            </w:r>
          </w:p>
          <w:p w14:paraId="020D3D2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w:t>
            </w:r>
            <w:r>
              <w:rPr>
                <w:rFonts w:hint="eastAsia" w:ascii="宋体" w:hAnsi="宋体" w:eastAsia="宋体" w:cs="宋体"/>
                <w:b w:val="0"/>
                <w:i w:val="0"/>
                <w:color w:val="000000"/>
                <w:sz w:val="24"/>
                <w:szCs w:val="24"/>
                <w:lang w:val="en-US" w:eastAsia="zh-CN"/>
              </w:rPr>
              <w:t>提供</w:t>
            </w:r>
            <w:r>
              <w:rPr>
                <w:rFonts w:hint="eastAsia" w:ascii="宋体" w:hAnsi="宋体" w:eastAsia="宋体" w:cs="宋体"/>
                <w:b w:val="0"/>
                <w:i w:val="0"/>
                <w:color w:val="000000"/>
                <w:sz w:val="24"/>
                <w:szCs w:val="24"/>
                <w:lang w:val="zh-TW" w:eastAsia="zh-TW"/>
              </w:rPr>
              <w:t>用户行为分析、设备统计、地域监控，提供功能截图，得</w:t>
            </w:r>
            <w:r>
              <w:rPr>
                <w:rFonts w:hint="eastAsia" w:ascii="宋体" w:hAnsi="宋体" w:eastAsia="宋体" w:cs="宋体"/>
                <w:b w:val="0"/>
                <w:i w:val="0"/>
                <w:color w:val="000000"/>
                <w:sz w:val="24"/>
                <w:szCs w:val="24"/>
                <w:lang w:val="en-US" w:eastAsia="zh-CN"/>
              </w:rPr>
              <w:t>6</w:t>
            </w:r>
            <w:r>
              <w:rPr>
                <w:rFonts w:hint="eastAsia" w:ascii="宋体" w:hAnsi="宋体" w:eastAsia="宋体" w:cs="宋体"/>
                <w:b w:val="0"/>
                <w:i w:val="0"/>
                <w:color w:val="000000"/>
                <w:sz w:val="24"/>
                <w:szCs w:val="24"/>
                <w:lang w:val="zh-TW" w:eastAsia="zh-TW"/>
              </w:rPr>
              <w:t>分；</w:t>
            </w:r>
          </w:p>
          <w:p w14:paraId="19FE14D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-仅实现基础监控，得3分；</w:t>
            </w:r>
          </w:p>
          <w:p w14:paraId="520B181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w:t>
            </w:r>
            <w:r>
              <w:rPr>
                <w:rFonts w:hint="eastAsia" w:ascii="宋体" w:hAnsi="宋体" w:eastAsia="宋体" w:cs="宋体"/>
                <w:b w:val="0"/>
                <w:i w:val="0"/>
                <w:color w:val="000000"/>
                <w:sz w:val="24"/>
                <w:szCs w:val="24"/>
                <w:lang w:val="en-US" w:eastAsia="zh-CN"/>
              </w:rPr>
              <w:t>与项目无关</w:t>
            </w:r>
            <w:r>
              <w:rPr>
                <w:rFonts w:hint="eastAsia" w:ascii="宋体" w:hAnsi="宋体" w:eastAsia="宋体" w:cs="宋体"/>
                <w:b w:val="0"/>
                <w:i w:val="0"/>
                <w:color w:val="000000"/>
                <w:sz w:val="24"/>
                <w:szCs w:val="24"/>
                <w:lang w:val="zh-TW" w:eastAsia="zh-TW"/>
              </w:rPr>
              <w:t>内容，得0分。</w:t>
            </w:r>
          </w:p>
          <w:p w14:paraId="4D1C683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3.服务扩展性（</w:t>
            </w:r>
            <w:r>
              <w:rPr>
                <w:rFonts w:hint="eastAsia" w:ascii="宋体" w:hAnsi="宋体" w:eastAsia="宋体" w:cs="宋体"/>
                <w:b w:val="0"/>
                <w:i w:val="0"/>
                <w:color w:val="000000"/>
                <w:sz w:val="24"/>
                <w:szCs w:val="24"/>
                <w:lang w:val="en-US" w:eastAsia="zh-CN"/>
              </w:rPr>
              <w:t>6</w:t>
            </w:r>
            <w:r>
              <w:rPr>
                <w:rFonts w:hint="eastAsia" w:ascii="宋体" w:hAnsi="宋体" w:eastAsia="宋体" w:cs="宋体"/>
                <w:b w:val="0"/>
                <w:i w:val="0"/>
                <w:color w:val="000000"/>
                <w:sz w:val="24"/>
                <w:szCs w:val="24"/>
                <w:lang w:val="zh-TW" w:eastAsia="zh-TW"/>
              </w:rPr>
              <w:t>分）：</w:t>
            </w:r>
          </w:p>
          <w:p w14:paraId="424894A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-可定制化运维模式，涵盖全部监控需求，得</w:t>
            </w:r>
            <w:r>
              <w:rPr>
                <w:rFonts w:hint="eastAsia" w:ascii="宋体" w:hAnsi="宋体" w:eastAsia="宋体" w:cs="宋体"/>
                <w:b w:val="0"/>
                <w:i w:val="0"/>
                <w:color w:val="000000"/>
                <w:sz w:val="24"/>
                <w:szCs w:val="24"/>
                <w:lang w:val="en-US" w:eastAsia="zh-CN"/>
              </w:rPr>
              <w:t>6</w:t>
            </w:r>
            <w:r>
              <w:rPr>
                <w:rFonts w:hint="eastAsia" w:ascii="宋体" w:hAnsi="宋体" w:eastAsia="宋体" w:cs="宋体"/>
                <w:b w:val="0"/>
                <w:i w:val="0"/>
                <w:color w:val="000000"/>
                <w:sz w:val="24"/>
                <w:szCs w:val="24"/>
                <w:lang w:val="zh-TW" w:eastAsia="zh-TW"/>
              </w:rPr>
              <w:t>分；</w:t>
            </w:r>
          </w:p>
          <w:p w14:paraId="6EE9A27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-满足日常运维，得3分；</w:t>
            </w:r>
          </w:p>
          <w:p w14:paraId="13A3EFB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-无扩展能力，得0分。</w:t>
            </w:r>
          </w:p>
        </w:tc>
      </w:tr>
      <w:tr w14:paraId="7ED28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68" w:type="pct"/>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14:paraId="1E19E55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项目组人员配置</w:t>
            </w:r>
          </w:p>
        </w:tc>
        <w:tc>
          <w:tcPr>
            <w:tcW w:w="1053" w:type="pct"/>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14:paraId="702A9C5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8</w:t>
            </w:r>
          </w:p>
        </w:tc>
        <w:tc>
          <w:tcPr>
            <w:tcW w:w="2877" w:type="pct"/>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14:paraId="22FE403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en-US" w:eastAsia="zh-CN"/>
              </w:rPr>
              <w:t>1.</w:t>
            </w:r>
            <w:r>
              <w:rPr>
                <w:rFonts w:hint="eastAsia" w:ascii="宋体" w:hAnsi="宋体" w:eastAsia="宋体" w:cs="宋体"/>
                <w:b w:val="0"/>
                <w:i w:val="0"/>
                <w:color w:val="000000"/>
                <w:sz w:val="24"/>
                <w:szCs w:val="24"/>
                <w:lang w:val="zh-TW" w:eastAsia="zh-TW"/>
              </w:rPr>
              <w:t>项目负责人（1人）（1人，需为计算机类本科及以上学历，否则该条不得分）具有：</w:t>
            </w:r>
          </w:p>
          <w:p w14:paraId="1F06D05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（1）信息系统项目管理师证书的，得1分；</w:t>
            </w:r>
          </w:p>
          <w:p w14:paraId="492A1CF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（2）网络规划设计师证书的，得1分；</w:t>
            </w:r>
          </w:p>
          <w:p w14:paraId="1FDB01F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（3）中国网络安全审查认证和市场监管大数据中心（原中国网络安全审查技术与认证中心）颁发的信息安全保障人员认证证书的，得1分。</w:t>
            </w:r>
          </w:p>
          <w:p w14:paraId="4B867B8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2</w:t>
            </w:r>
            <w:r>
              <w:rPr>
                <w:rFonts w:hint="eastAsia" w:ascii="宋体" w:hAnsi="宋体" w:eastAsia="宋体" w:cs="宋体"/>
                <w:b w:val="0"/>
                <w:i w:val="0"/>
                <w:color w:val="000000"/>
                <w:sz w:val="24"/>
                <w:szCs w:val="24"/>
                <w:lang w:val="zh-TW" w:eastAsia="zh-CN"/>
              </w:rPr>
              <w:t>.</w:t>
            </w:r>
            <w:r>
              <w:rPr>
                <w:rFonts w:hint="eastAsia" w:ascii="宋体" w:hAnsi="宋体" w:eastAsia="宋体" w:cs="宋体"/>
                <w:b w:val="0"/>
                <w:i w:val="0"/>
                <w:color w:val="000000"/>
                <w:sz w:val="24"/>
                <w:szCs w:val="24"/>
                <w:lang w:val="zh-TW" w:eastAsia="zh-TW"/>
              </w:rPr>
              <w:t>项目组成员（除项目负责人外，同一人员具有多种证书的，仅计一次分，不重复计分）具有</w:t>
            </w:r>
          </w:p>
          <w:p w14:paraId="34DCD13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（1）软件设计师证书的，得1分；</w:t>
            </w:r>
          </w:p>
          <w:p w14:paraId="093001C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（2）系统分析师证书的，得1分。</w:t>
            </w:r>
          </w:p>
          <w:p w14:paraId="1900264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en-US" w:eastAsia="zh-CN"/>
              </w:rPr>
              <w:t>3</w:t>
            </w:r>
            <w:r>
              <w:rPr>
                <w:rFonts w:hint="eastAsia" w:ascii="宋体" w:hAnsi="宋体" w:eastAsia="宋体" w:cs="宋体"/>
                <w:b w:val="0"/>
                <w:i w:val="0"/>
                <w:color w:val="000000"/>
                <w:sz w:val="24"/>
                <w:szCs w:val="24"/>
                <w:lang w:val="zh-TW" w:eastAsia="zh-TW"/>
              </w:rPr>
              <w:t xml:space="preserve">. </w:t>
            </w:r>
            <w:r>
              <w:rPr>
                <w:rFonts w:hint="eastAsia" w:ascii="宋体" w:hAnsi="宋体" w:eastAsia="宋体" w:cs="宋体"/>
                <w:b w:val="0"/>
                <w:i w:val="0"/>
                <w:color w:val="000000"/>
                <w:sz w:val="24"/>
                <w:szCs w:val="24"/>
                <w:lang w:val="en-US" w:eastAsia="zh-CN"/>
              </w:rPr>
              <w:t>现场办公</w:t>
            </w:r>
            <w:r>
              <w:rPr>
                <w:rFonts w:hint="eastAsia" w:ascii="宋体" w:hAnsi="宋体" w:eastAsia="宋体" w:cs="宋体"/>
                <w:b w:val="0"/>
                <w:i w:val="0"/>
                <w:color w:val="000000"/>
                <w:sz w:val="24"/>
                <w:szCs w:val="24"/>
                <w:lang w:val="zh-TW" w:eastAsia="zh-TW"/>
              </w:rPr>
              <w:t>承诺（3 分）：</w:t>
            </w:r>
          </w:p>
          <w:p w14:paraId="06DADFA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 承诺</w:t>
            </w:r>
            <w:r>
              <w:rPr>
                <w:rFonts w:hint="eastAsia" w:ascii="宋体" w:hAnsi="宋体" w:eastAsia="宋体" w:cs="宋体"/>
                <w:b w:val="0"/>
                <w:i w:val="0"/>
                <w:color w:val="000000"/>
                <w:sz w:val="24"/>
                <w:szCs w:val="24"/>
                <w:lang w:val="en-US" w:eastAsia="zh-CN"/>
              </w:rPr>
              <w:t>现场办公</w:t>
            </w:r>
            <w:r>
              <w:rPr>
                <w:rFonts w:hint="eastAsia" w:ascii="宋体" w:hAnsi="宋体" w:eastAsia="宋体" w:cs="宋体"/>
                <w:b w:val="0"/>
                <w:i w:val="0"/>
                <w:color w:val="000000"/>
                <w:sz w:val="24"/>
                <w:szCs w:val="24"/>
                <w:lang w:val="zh-TW" w:eastAsia="zh-TW"/>
              </w:rPr>
              <w:t>天数（30天常规+ 1-2 周重点业务），提供承诺函，得3 分；</w:t>
            </w:r>
          </w:p>
          <w:p w14:paraId="336ED23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 未承诺或不达标，得 0 分。</w:t>
            </w:r>
          </w:p>
          <w:p w14:paraId="499F37C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以上均需提供加盖公章的承诺函。</w:t>
            </w:r>
          </w:p>
        </w:tc>
      </w:tr>
      <w:tr w14:paraId="7A7CD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68" w:type="pct"/>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14:paraId="27BE5C0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培训方案</w:t>
            </w:r>
          </w:p>
        </w:tc>
        <w:tc>
          <w:tcPr>
            <w:tcW w:w="1053" w:type="pct"/>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14:paraId="63A4CAD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6</w:t>
            </w:r>
          </w:p>
        </w:tc>
        <w:tc>
          <w:tcPr>
            <w:tcW w:w="2877" w:type="pct"/>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14:paraId="05FD499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有针对性的培训方案，需包含新进人员专项培训计划（如时间、对象、内容）、常规操作培训及线上资源支持。</w:t>
            </w:r>
          </w:p>
          <w:p w14:paraId="43E3BF9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-方案包含时间、地点、对象、内容且可操作性强，得6分；</w:t>
            </w:r>
          </w:p>
          <w:p w14:paraId="20CAFAF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-方案完整但细节待完善，得3分；</w:t>
            </w:r>
          </w:p>
          <w:p w14:paraId="2D12CBC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-方案缺失或不可行，得0分。</w:t>
            </w:r>
          </w:p>
        </w:tc>
      </w:tr>
      <w:tr w14:paraId="53E41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68" w:type="pct"/>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14:paraId="50050C0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安全方案</w:t>
            </w:r>
          </w:p>
        </w:tc>
        <w:tc>
          <w:tcPr>
            <w:tcW w:w="1053" w:type="pct"/>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14:paraId="0AAA009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6</w:t>
            </w:r>
          </w:p>
        </w:tc>
        <w:tc>
          <w:tcPr>
            <w:tcW w:w="2877" w:type="pct"/>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14:paraId="6E5B3E7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CN" w:eastAsia="zh-TW"/>
              </w:rPr>
            </w:pPr>
            <w:r>
              <w:rPr>
                <w:rFonts w:hint="eastAsia" w:ascii="宋体" w:hAnsi="宋体" w:eastAsia="宋体" w:cs="宋体"/>
                <w:b w:val="0"/>
                <w:i w:val="0"/>
                <w:color w:val="000000"/>
                <w:sz w:val="24"/>
                <w:szCs w:val="24"/>
                <w:lang w:val="zh-CN" w:eastAsia="zh-TW"/>
              </w:rPr>
              <w:t>供应商从物理安全、网络安全、系统安全、应用软件安全、用户安全、数据安全等几个方面提出方案</w:t>
            </w:r>
          </w:p>
          <w:p w14:paraId="582662B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CN" w:eastAsia="zh-TW"/>
              </w:rPr>
            </w:pPr>
            <w:r>
              <w:rPr>
                <w:rFonts w:hint="eastAsia" w:ascii="宋体" w:hAnsi="宋体" w:eastAsia="宋体" w:cs="宋体"/>
                <w:b w:val="0"/>
                <w:i w:val="0"/>
                <w:color w:val="000000"/>
                <w:sz w:val="24"/>
                <w:szCs w:val="24"/>
                <w:lang w:val="en-US" w:eastAsia="zh-CN"/>
              </w:rPr>
              <w:t xml:space="preserve">- </w:t>
            </w:r>
            <w:r>
              <w:rPr>
                <w:rFonts w:hint="eastAsia" w:ascii="宋体" w:hAnsi="宋体" w:eastAsia="宋体" w:cs="宋体"/>
                <w:b w:val="0"/>
                <w:i w:val="0"/>
                <w:color w:val="000000"/>
                <w:sz w:val="24"/>
                <w:szCs w:val="24"/>
                <w:lang w:val="zh-CN" w:eastAsia="zh-TW"/>
              </w:rPr>
              <w:t>符合项目建设需要，安全体系完善，内容详细明确，计划可行，得</w:t>
            </w:r>
            <w:r>
              <w:rPr>
                <w:rFonts w:hint="eastAsia" w:ascii="宋体" w:hAnsi="宋体" w:eastAsia="宋体" w:cs="宋体"/>
                <w:b w:val="0"/>
                <w:i w:val="0"/>
                <w:color w:val="000000"/>
                <w:sz w:val="24"/>
                <w:szCs w:val="24"/>
                <w:lang w:val="en-US" w:eastAsia="zh-CN"/>
              </w:rPr>
              <w:t>6</w:t>
            </w:r>
            <w:r>
              <w:rPr>
                <w:rFonts w:hint="eastAsia" w:ascii="宋体" w:hAnsi="宋体" w:eastAsia="宋体" w:cs="宋体"/>
                <w:b w:val="0"/>
                <w:i w:val="0"/>
                <w:color w:val="000000"/>
                <w:sz w:val="24"/>
                <w:szCs w:val="24"/>
                <w:lang w:val="zh-CN" w:eastAsia="zh-TW"/>
              </w:rPr>
              <w:t xml:space="preserve"> 分；</w:t>
            </w:r>
          </w:p>
          <w:p w14:paraId="0A9AF3E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CN" w:eastAsia="zh-TW"/>
              </w:rPr>
            </w:pPr>
            <w:r>
              <w:rPr>
                <w:rFonts w:hint="eastAsia" w:ascii="宋体" w:hAnsi="宋体" w:eastAsia="宋体" w:cs="宋体"/>
                <w:b w:val="0"/>
                <w:i w:val="0"/>
                <w:color w:val="000000"/>
                <w:sz w:val="24"/>
                <w:szCs w:val="24"/>
                <w:lang w:val="en-US" w:eastAsia="zh-CN"/>
              </w:rPr>
              <w:t xml:space="preserve">- </w:t>
            </w:r>
            <w:r>
              <w:rPr>
                <w:rFonts w:hint="eastAsia" w:ascii="宋体" w:hAnsi="宋体" w:eastAsia="宋体" w:cs="宋体"/>
                <w:b w:val="0"/>
                <w:i w:val="0"/>
                <w:color w:val="000000"/>
                <w:sz w:val="24"/>
                <w:szCs w:val="24"/>
                <w:lang w:val="zh-CN" w:eastAsia="zh-TW"/>
              </w:rPr>
              <w:t>基本符合项目建设需要，安全体系完善，内容较详细、明确，计划可行 ，得</w:t>
            </w:r>
            <w:r>
              <w:rPr>
                <w:rFonts w:hint="eastAsia" w:ascii="宋体" w:hAnsi="宋体" w:eastAsia="宋体" w:cs="宋体"/>
                <w:b w:val="0"/>
                <w:i w:val="0"/>
                <w:color w:val="000000"/>
                <w:sz w:val="24"/>
                <w:szCs w:val="24"/>
                <w:lang w:val="en-US" w:eastAsia="zh-CN"/>
              </w:rPr>
              <w:t>4</w:t>
            </w:r>
            <w:r>
              <w:rPr>
                <w:rFonts w:hint="eastAsia" w:ascii="宋体" w:hAnsi="宋体" w:eastAsia="宋体" w:cs="宋体"/>
                <w:b w:val="0"/>
                <w:i w:val="0"/>
                <w:color w:val="000000"/>
                <w:sz w:val="24"/>
                <w:szCs w:val="24"/>
                <w:lang w:val="zh-CN" w:eastAsia="zh-TW"/>
              </w:rPr>
              <w:t>分；</w:t>
            </w:r>
          </w:p>
          <w:p w14:paraId="2F57168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CN" w:eastAsia="zh-TW"/>
              </w:rPr>
            </w:pPr>
            <w:r>
              <w:rPr>
                <w:rFonts w:hint="eastAsia" w:ascii="宋体" w:hAnsi="宋体" w:eastAsia="宋体" w:cs="宋体"/>
                <w:b w:val="0"/>
                <w:i w:val="0"/>
                <w:color w:val="000000"/>
                <w:sz w:val="24"/>
                <w:szCs w:val="24"/>
                <w:lang w:val="en-US" w:eastAsia="zh-CN"/>
              </w:rPr>
              <w:t xml:space="preserve">- </w:t>
            </w:r>
            <w:r>
              <w:rPr>
                <w:rFonts w:hint="eastAsia" w:ascii="宋体" w:hAnsi="宋体" w:eastAsia="宋体" w:cs="宋体"/>
                <w:b w:val="0"/>
                <w:i w:val="0"/>
                <w:color w:val="000000"/>
                <w:sz w:val="24"/>
                <w:szCs w:val="24"/>
                <w:lang w:val="zh-CN" w:eastAsia="zh-TW"/>
              </w:rPr>
              <w:t xml:space="preserve">基本符合项目建设要求，整体内容有待进一步细化的，得 </w:t>
            </w:r>
            <w:r>
              <w:rPr>
                <w:rFonts w:hint="eastAsia" w:ascii="宋体" w:hAnsi="宋体" w:eastAsia="宋体" w:cs="宋体"/>
                <w:b w:val="0"/>
                <w:i w:val="0"/>
                <w:color w:val="000000"/>
                <w:sz w:val="24"/>
                <w:szCs w:val="24"/>
                <w:lang w:val="en-US" w:eastAsia="zh-CN"/>
              </w:rPr>
              <w:t>2</w:t>
            </w:r>
            <w:r>
              <w:rPr>
                <w:rFonts w:hint="eastAsia" w:ascii="宋体" w:hAnsi="宋体" w:eastAsia="宋体" w:cs="宋体"/>
                <w:b w:val="0"/>
                <w:i w:val="0"/>
                <w:color w:val="000000"/>
                <w:sz w:val="24"/>
                <w:szCs w:val="24"/>
                <w:lang w:val="zh-CN" w:eastAsia="zh-TW"/>
              </w:rPr>
              <w:t xml:space="preserve"> 分；</w:t>
            </w:r>
          </w:p>
          <w:p w14:paraId="74E93A8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en-US" w:eastAsia="zh-CN"/>
              </w:rPr>
              <w:t xml:space="preserve">- </w:t>
            </w:r>
            <w:r>
              <w:rPr>
                <w:rFonts w:hint="eastAsia" w:ascii="宋体" w:hAnsi="宋体" w:eastAsia="宋体" w:cs="宋体"/>
                <w:b w:val="0"/>
                <w:i w:val="0"/>
                <w:color w:val="000000"/>
                <w:sz w:val="24"/>
                <w:szCs w:val="24"/>
                <w:lang w:val="zh-CN" w:eastAsia="zh-TW"/>
              </w:rPr>
              <w:t>方案所包含的要点有缺漏、未提供或内容存在明显错误、内容明显不适用于本项目需求的均不得分</w:t>
            </w:r>
          </w:p>
        </w:tc>
      </w:tr>
      <w:tr w14:paraId="058F5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68" w:type="pct"/>
            <w:tcBorders>
              <w:top w:val="single" w:color="999999" w:themeColor="dark1" w:themeTint="66" w:sz="6" w:space="0"/>
              <w:left w:val="single" w:color="000000" w:themeColor="dark1" w:sz="6" w:space="0"/>
              <w:bottom w:val="single" w:color="000000" w:themeColor="dark1" w:sz="6" w:space="0"/>
              <w:right w:val="single" w:color="999999" w:themeColor="dark1" w:themeTint="66" w:sz="6" w:space="0"/>
            </w:tcBorders>
            <w:shd w:val="clear" w:color="auto" w:fill="FFFFFF"/>
            <w:noWrap w:val="0"/>
            <w:vAlign w:val="center"/>
          </w:tcPr>
          <w:p w14:paraId="02685E4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风险管理方案</w:t>
            </w:r>
          </w:p>
        </w:tc>
        <w:tc>
          <w:tcPr>
            <w:tcW w:w="1053" w:type="pct"/>
            <w:tcBorders>
              <w:top w:val="single" w:color="999999" w:themeColor="dark1" w:themeTint="66" w:sz="6" w:space="0"/>
              <w:left w:val="single" w:color="999999" w:themeColor="dark1" w:themeTint="66" w:sz="6" w:space="0"/>
              <w:bottom w:val="single" w:color="000000" w:themeColor="dark1" w:sz="6" w:space="0"/>
              <w:right w:val="single" w:color="999999" w:themeColor="dark1" w:themeTint="66" w:sz="6" w:space="0"/>
            </w:tcBorders>
            <w:shd w:val="clear" w:color="auto" w:fill="FFFFFF"/>
            <w:noWrap w:val="0"/>
            <w:vAlign w:val="center"/>
          </w:tcPr>
          <w:p w14:paraId="75A1D77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6</w:t>
            </w:r>
          </w:p>
        </w:tc>
        <w:tc>
          <w:tcPr>
            <w:tcW w:w="2877" w:type="pct"/>
            <w:tcBorders>
              <w:top w:val="single" w:color="999999" w:themeColor="dark1" w:themeTint="66" w:sz="6" w:space="0"/>
              <w:left w:val="single" w:color="999999" w:themeColor="dark1" w:themeTint="66" w:sz="6" w:space="0"/>
              <w:bottom w:val="single" w:color="000000" w:themeColor="dark1" w:sz="6" w:space="0"/>
              <w:right w:val="single" w:color="000000" w:themeColor="dark1" w:sz="6" w:space="0"/>
            </w:tcBorders>
            <w:shd w:val="clear" w:color="auto" w:fill="FFFFFF"/>
            <w:noWrap w:val="0"/>
            <w:vAlign w:val="center"/>
          </w:tcPr>
          <w:p w14:paraId="7A5C892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供应商提供完善的风险管理方案，包含风险识别、风险量化、风险对策、风险对策实施控制等方面进行描述：</w:t>
            </w:r>
          </w:p>
          <w:p w14:paraId="259F34D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w:t>
            </w:r>
            <w:r>
              <w:rPr>
                <w:rFonts w:hint="eastAsia" w:ascii="宋体" w:hAnsi="宋体" w:eastAsia="宋体" w:cs="宋体"/>
                <w:b w:val="0"/>
                <w:i w:val="0"/>
                <w:color w:val="000000"/>
                <w:sz w:val="24"/>
                <w:szCs w:val="24"/>
                <w:lang w:val="en-US" w:eastAsia="zh-CN"/>
              </w:rPr>
              <w:t>具备完善的风险管理方案，</w:t>
            </w:r>
            <w:r>
              <w:rPr>
                <w:rFonts w:hint="eastAsia" w:ascii="宋体" w:hAnsi="宋体" w:eastAsia="宋体" w:cs="宋体"/>
                <w:b w:val="0"/>
                <w:i w:val="0"/>
                <w:color w:val="000000"/>
                <w:sz w:val="24"/>
                <w:szCs w:val="24"/>
                <w:lang w:val="zh-TW" w:eastAsia="zh-TW"/>
              </w:rPr>
              <w:t>涵盖风险识别、量化、对策及控制，步骤明确，得6分；</w:t>
            </w:r>
          </w:p>
          <w:p w14:paraId="655357D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-框架完整但细节简略，得3分；</w:t>
            </w:r>
          </w:p>
          <w:p w14:paraId="4CCCCC5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color w:val="000000"/>
                <w:sz w:val="24"/>
                <w:szCs w:val="24"/>
                <w:lang w:val="zh-TW" w:eastAsia="zh-TW"/>
              </w:rPr>
            </w:pPr>
            <w:r>
              <w:rPr>
                <w:rFonts w:hint="eastAsia" w:ascii="宋体" w:hAnsi="宋体" w:eastAsia="宋体" w:cs="宋体"/>
                <w:b w:val="0"/>
                <w:i w:val="0"/>
                <w:color w:val="000000"/>
                <w:sz w:val="24"/>
                <w:szCs w:val="24"/>
                <w:lang w:val="zh-TW" w:eastAsia="zh-TW"/>
              </w:rPr>
              <w:t>-无方案或</w:t>
            </w:r>
            <w:r>
              <w:rPr>
                <w:rFonts w:hint="eastAsia" w:ascii="宋体" w:hAnsi="宋体" w:eastAsia="宋体" w:cs="宋体"/>
                <w:b w:val="0"/>
                <w:i w:val="0"/>
                <w:color w:val="000000"/>
                <w:sz w:val="24"/>
                <w:szCs w:val="24"/>
                <w:lang w:val="en-US" w:eastAsia="zh-CN"/>
              </w:rPr>
              <w:t>方案内容</w:t>
            </w:r>
            <w:r>
              <w:rPr>
                <w:rFonts w:hint="eastAsia" w:ascii="宋体" w:hAnsi="宋体" w:eastAsia="宋体" w:cs="宋体"/>
                <w:b w:val="0"/>
                <w:i w:val="0"/>
                <w:color w:val="000000"/>
                <w:sz w:val="24"/>
                <w:szCs w:val="24"/>
                <w:lang w:val="zh-TW" w:eastAsia="zh-TW"/>
              </w:rPr>
              <w:t>不可行，得0分。</w:t>
            </w:r>
          </w:p>
        </w:tc>
      </w:tr>
    </w:tbl>
    <w:p w14:paraId="612334C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91E1B"/>
    <w:multiLevelType w:val="singleLevel"/>
    <w:tmpl w:val="A0691E1B"/>
    <w:lvl w:ilvl="0" w:tentative="0">
      <w:start w:val="1"/>
      <w:numFmt w:val="chineseCounting"/>
      <w:pStyle w:val="2"/>
      <w:suff w:val="nothing"/>
      <w:lvlText w:val="（%1）"/>
      <w:lvlJc w:val="left"/>
      <w:pPr>
        <w:ind w:left="0" w:firstLine="420"/>
      </w:pPr>
      <w:rPr>
        <w:rFonts w:hint="eastAsia"/>
      </w:rPr>
    </w:lvl>
  </w:abstractNum>
  <w:abstractNum w:abstractNumId="1">
    <w:nsid w:val="C7C55C2A"/>
    <w:multiLevelType w:val="singleLevel"/>
    <w:tmpl w:val="C7C55C2A"/>
    <w:lvl w:ilvl="0" w:tentative="0">
      <w:start w:val="1"/>
      <w:numFmt w:val="decimal"/>
      <w:suff w:val="space"/>
      <w:lvlText w:val="%1."/>
      <w:lvlJc w:val="left"/>
    </w:lvl>
  </w:abstractNum>
  <w:abstractNum w:abstractNumId="2">
    <w:nsid w:val="FFFFFFFB"/>
    <w:multiLevelType w:val="multilevel"/>
    <w:tmpl w:val="FFFFFFFB"/>
    <w:lvl w:ilvl="0" w:tentative="0">
      <w:start w:val="1"/>
      <w:numFmt w:val="decimal"/>
      <w:lvlText w:val="%1"/>
      <w:legacy w:legacy="1" w:legacySpace="255" w:legacyIndent="0"/>
      <w:lvlJc w:val="left"/>
      <w:rPr>
        <w:rFonts w:hint="eastAsia" w:ascii="黑体" w:eastAsia="黑体"/>
        <w:b w:val="0"/>
        <w:i w:val="0"/>
        <w:sz w:val="24"/>
      </w:rPr>
    </w:lvl>
    <w:lvl w:ilvl="1" w:tentative="0">
      <w:start w:val="1"/>
      <w:numFmt w:val="decimal"/>
      <w:pStyle w:val="3"/>
      <w:lvlText w:val="%1.%2"/>
      <w:legacy w:legacy="1" w:legacySpace="255" w:legacyIndent="0"/>
      <w:lvlJc w:val="left"/>
      <w:rPr>
        <w:rFonts w:hint="eastAsia" w:ascii="黑体" w:eastAsia="黑体"/>
        <w:b w:val="0"/>
        <w:i w:val="0"/>
        <w:color w:val="auto"/>
        <w:sz w:val="24"/>
      </w:rPr>
    </w:lvl>
    <w:lvl w:ilvl="2" w:tentative="0">
      <w:start w:val="1"/>
      <w:numFmt w:val="decimal"/>
      <w:pStyle w:val="4"/>
      <w:lvlText w:val="%1.%2.%3"/>
      <w:legacy w:legacy="1" w:legacySpace="255" w:legacyIndent="0"/>
      <w:lvlJc w:val="left"/>
      <w:rPr>
        <w:rFonts w:hint="eastAsia" w:ascii="黑体" w:eastAsia="黑体"/>
        <w:b w:val="0"/>
        <w:i w:val="0"/>
        <w:sz w:val="24"/>
      </w:rPr>
    </w:lvl>
    <w:lvl w:ilvl="3" w:tentative="0">
      <w:start w:val="1"/>
      <w:numFmt w:val="decimal"/>
      <w:pStyle w:val="5"/>
      <w:lvlText w:val="%1.%2.%3.%4"/>
      <w:legacy w:legacy="1" w:legacySpace="255" w:legacyIndent="0"/>
      <w:lvlJc w:val="left"/>
      <w:rPr>
        <w:rFonts w:hint="eastAsia" w:ascii="黑体" w:eastAsia="黑体"/>
        <w:b w:val="0"/>
        <w:i w:val="0"/>
        <w:sz w:val="24"/>
      </w:rPr>
    </w:lvl>
    <w:lvl w:ilvl="4" w:tentative="0">
      <w:start w:val="1"/>
      <w:numFmt w:val="decimal"/>
      <w:pStyle w:val="6"/>
      <w:lvlText w:val="%1.%2.%3.%4.%5"/>
      <w:legacy w:legacy="1" w:legacySpace="255" w:legacyIndent="0"/>
      <w:lvlJc w:val="left"/>
      <w:rPr>
        <w:rFonts w:hint="eastAsia" w:ascii="黑体" w:eastAsia="黑体"/>
        <w:b w:val="0"/>
        <w:i w:val="0"/>
        <w:sz w:val="24"/>
      </w:rPr>
    </w:lvl>
    <w:lvl w:ilvl="5" w:tentative="0">
      <w:start w:val="1"/>
      <w:numFmt w:val="decimal"/>
      <w:pStyle w:val="7"/>
      <w:lvlText w:val="%1.%2.%3.%4.%5.%6"/>
      <w:legacy w:legacy="1" w:legacySpace="255" w:legacyIndent="0"/>
      <w:lvlJc w:val="left"/>
      <w:rPr>
        <w:rFonts w:hint="eastAsia" w:ascii="黑体" w:eastAsia="黑体"/>
        <w:b w:val="0"/>
        <w:i w:val="0"/>
        <w:sz w:val="24"/>
      </w:rPr>
    </w:lvl>
    <w:lvl w:ilvl="6" w:tentative="0">
      <w:start w:val="1"/>
      <w:numFmt w:val="decimal"/>
      <w:pStyle w:val="8"/>
      <w:lvlText w:val="（%7）"/>
      <w:legacy w:legacy="1" w:legacySpace="113" w:legacyIndent="0"/>
      <w:lvlJc w:val="left"/>
      <w:pPr>
        <w:ind w:left="1191" w:firstLine="0"/>
      </w:pPr>
      <w:rPr>
        <w:rFonts w:hint="eastAsia" w:ascii="黑体" w:eastAsia="黑体"/>
        <w:b w:val="0"/>
        <w:i w:val="0"/>
        <w:sz w:val="24"/>
        <w:lang w:val="en-US"/>
      </w:rPr>
    </w:lvl>
    <w:lvl w:ilvl="7" w:tentative="0">
      <w:start w:val="1"/>
      <w:numFmt w:val="lowerLetter"/>
      <w:pStyle w:val="9"/>
      <w:lvlText w:val="（%8）"/>
      <w:legacy w:legacy="1" w:legacySpace="113" w:legacyIndent="0"/>
      <w:lvlJc w:val="left"/>
      <w:pPr>
        <w:ind w:left="1888" w:firstLine="0"/>
      </w:pPr>
      <w:rPr>
        <w:rFonts w:hint="eastAsia" w:ascii="黑体" w:eastAsia="黑体"/>
        <w:b w:val="0"/>
        <w:i w:val="0"/>
        <w:sz w:val="24"/>
      </w:rPr>
    </w:lvl>
    <w:lvl w:ilvl="8" w:tentative="0">
      <w:start w:val="1"/>
      <w:numFmt w:val="lowerRoman"/>
      <w:pStyle w:val="10"/>
      <w:lvlText w:val="（%9）"/>
      <w:legacy w:legacy="1" w:legacySpace="113" w:legacyIndent="0"/>
      <w:lvlJc w:val="left"/>
      <w:pPr>
        <w:ind w:left="2591" w:firstLine="0"/>
      </w:pPr>
      <w:rPr>
        <w:rFonts w:hint="eastAsia" w:ascii="黑体" w:eastAsia="黑体"/>
        <w:b w:val="0"/>
        <w:i w:val="0"/>
        <w:sz w:val="24"/>
      </w:rPr>
    </w:lvl>
  </w:abstractNum>
  <w:abstractNum w:abstractNumId="3">
    <w:nsid w:val="36DF4374"/>
    <w:multiLevelType w:val="singleLevel"/>
    <w:tmpl w:val="36DF4374"/>
    <w:lvl w:ilvl="0" w:tentative="0">
      <w:start w:val="17"/>
      <w:numFmt w:val="decimal"/>
      <w:suff w:val="nothing"/>
      <w:lvlText w:val="（%1）"/>
      <w:lvlJc w:val="left"/>
    </w:lvl>
  </w:abstractNum>
  <w:abstractNum w:abstractNumId="4">
    <w:nsid w:val="4B815C49"/>
    <w:multiLevelType w:val="multilevel"/>
    <w:tmpl w:val="4B815C49"/>
    <w:lvl w:ilvl="0" w:tentative="0">
      <w:start w:val="1"/>
      <w:numFmt w:val="decimal"/>
      <w:pStyle w:val="27"/>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
    <w:nsid w:val="4D1251C3"/>
    <w:multiLevelType w:val="singleLevel"/>
    <w:tmpl w:val="4D1251C3"/>
    <w:lvl w:ilvl="0" w:tentative="0">
      <w:start w:val="1"/>
      <w:numFmt w:val="bullet"/>
      <w:lvlText w:val=""/>
      <w:lvlJc w:val="left"/>
      <w:pPr>
        <w:ind w:left="420" w:hanging="420"/>
      </w:pPr>
      <w:rPr>
        <w:rFonts w:hint="default" w:ascii="Wingdings" w:hAnsi="Wingdings"/>
        <w:color w:val="auto"/>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46"/>
    <w:rsid w:val="004139C4"/>
    <w:rsid w:val="00951A2D"/>
    <w:rsid w:val="00AF7746"/>
    <w:rsid w:val="00BE53C6"/>
    <w:rsid w:val="00D17854"/>
    <w:rsid w:val="022F4677"/>
    <w:rsid w:val="033C0465"/>
    <w:rsid w:val="05104339"/>
    <w:rsid w:val="05720B50"/>
    <w:rsid w:val="07117EF5"/>
    <w:rsid w:val="073F54F1"/>
    <w:rsid w:val="078A03D3"/>
    <w:rsid w:val="07996868"/>
    <w:rsid w:val="07C02047"/>
    <w:rsid w:val="08236132"/>
    <w:rsid w:val="09383E5F"/>
    <w:rsid w:val="099512B1"/>
    <w:rsid w:val="0BB20A4B"/>
    <w:rsid w:val="0E5E1C72"/>
    <w:rsid w:val="0F386966"/>
    <w:rsid w:val="11463C0D"/>
    <w:rsid w:val="11651569"/>
    <w:rsid w:val="11FF19BD"/>
    <w:rsid w:val="140C03C2"/>
    <w:rsid w:val="14382F65"/>
    <w:rsid w:val="16105F47"/>
    <w:rsid w:val="17606A5A"/>
    <w:rsid w:val="189310B2"/>
    <w:rsid w:val="19375EE1"/>
    <w:rsid w:val="195645B9"/>
    <w:rsid w:val="1A5D3284"/>
    <w:rsid w:val="1B300E3A"/>
    <w:rsid w:val="1BFE2CE6"/>
    <w:rsid w:val="1DAD6772"/>
    <w:rsid w:val="22AD2D70"/>
    <w:rsid w:val="24BB79C6"/>
    <w:rsid w:val="254C061E"/>
    <w:rsid w:val="26485289"/>
    <w:rsid w:val="282835C4"/>
    <w:rsid w:val="294A1318"/>
    <w:rsid w:val="29804D3A"/>
    <w:rsid w:val="2A6B1546"/>
    <w:rsid w:val="2BC453B2"/>
    <w:rsid w:val="2D941D0F"/>
    <w:rsid w:val="2DCF6290"/>
    <w:rsid w:val="2E0F2B31"/>
    <w:rsid w:val="2E4E5407"/>
    <w:rsid w:val="2EF43B94"/>
    <w:rsid w:val="3029612C"/>
    <w:rsid w:val="30517430"/>
    <w:rsid w:val="317433D6"/>
    <w:rsid w:val="327F0285"/>
    <w:rsid w:val="33995376"/>
    <w:rsid w:val="33A67A93"/>
    <w:rsid w:val="36A15F6D"/>
    <w:rsid w:val="36A858D0"/>
    <w:rsid w:val="372C4753"/>
    <w:rsid w:val="397228F1"/>
    <w:rsid w:val="39E82BB3"/>
    <w:rsid w:val="3A773F43"/>
    <w:rsid w:val="3D4F2F4A"/>
    <w:rsid w:val="3D622C4B"/>
    <w:rsid w:val="3ECC2AA4"/>
    <w:rsid w:val="3EE6168C"/>
    <w:rsid w:val="3F00274D"/>
    <w:rsid w:val="3F6525B0"/>
    <w:rsid w:val="3F84512C"/>
    <w:rsid w:val="3FEA0D08"/>
    <w:rsid w:val="40CF23D7"/>
    <w:rsid w:val="40E51BFB"/>
    <w:rsid w:val="42091904"/>
    <w:rsid w:val="453C3DB3"/>
    <w:rsid w:val="45B830B4"/>
    <w:rsid w:val="46162856"/>
    <w:rsid w:val="46D324F5"/>
    <w:rsid w:val="480A63EB"/>
    <w:rsid w:val="48CB5B7A"/>
    <w:rsid w:val="4AE03433"/>
    <w:rsid w:val="4B5D4A84"/>
    <w:rsid w:val="4C52210E"/>
    <w:rsid w:val="4D956757"/>
    <w:rsid w:val="4D9C6648"/>
    <w:rsid w:val="4E0D453F"/>
    <w:rsid w:val="4E0F475B"/>
    <w:rsid w:val="4F3E0E12"/>
    <w:rsid w:val="4FCE41A2"/>
    <w:rsid w:val="52392F9D"/>
    <w:rsid w:val="5257222D"/>
    <w:rsid w:val="52C04276"/>
    <w:rsid w:val="52E33AC0"/>
    <w:rsid w:val="5339422E"/>
    <w:rsid w:val="540E7263"/>
    <w:rsid w:val="546155E5"/>
    <w:rsid w:val="550A7A2A"/>
    <w:rsid w:val="55EA33B8"/>
    <w:rsid w:val="57DB56AE"/>
    <w:rsid w:val="58496ABB"/>
    <w:rsid w:val="5A875679"/>
    <w:rsid w:val="5A932270"/>
    <w:rsid w:val="5E7423B8"/>
    <w:rsid w:val="5E7B72A3"/>
    <w:rsid w:val="5FD27396"/>
    <w:rsid w:val="60687CFB"/>
    <w:rsid w:val="60997EB4"/>
    <w:rsid w:val="60C03693"/>
    <w:rsid w:val="60C56EFB"/>
    <w:rsid w:val="60F4333C"/>
    <w:rsid w:val="621974FF"/>
    <w:rsid w:val="629472EB"/>
    <w:rsid w:val="631801BA"/>
    <w:rsid w:val="634E31D8"/>
    <w:rsid w:val="642D54E3"/>
    <w:rsid w:val="64835103"/>
    <w:rsid w:val="650B7A23"/>
    <w:rsid w:val="6582360D"/>
    <w:rsid w:val="66650F64"/>
    <w:rsid w:val="66723681"/>
    <w:rsid w:val="6A4E1D0F"/>
    <w:rsid w:val="6AF208ED"/>
    <w:rsid w:val="6B454EC0"/>
    <w:rsid w:val="6BAC4F3F"/>
    <w:rsid w:val="6CDF30F3"/>
    <w:rsid w:val="6CFE17CB"/>
    <w:rsid w:val="6D9143ED"/>
    <w:rsid w:val="71AA3CCF"/>
    <w:rsid w:val="7295497F"/>
    <w:rsid w:val="731A0BE8"/>
    <w:rsid w:val="73E21E46"/>
    <w:rsid w:val="756F03ED"/>
    <w:rsid w:val="759F01CC"/>
    <w:rsid w:val="765B5EE0"/>
    <w:rsid w:val="76D57A40"/>
    <w:rsid w:val="770420D4"/>
    <w:rsid w:val="77CD7386"/>
    <w:rsid w:val="78762497"/>
    <w:rsid w:val="78F30652"/>
    <w:rsid w:val="78F47F26"/>
    <w:rsid w:val="78FB3062"/>
    <w:rsid w:val="79DD0ED3"/>
    <w:rsid w:val="79DF4732"/>
    <w:rsid w:val="7A8A28F0"/>
    <w:rsid w:val="7B37488A"/>
    <w:rsid w:val="7B5754EB"/>
    <w:rsid w:val="7C966736"/>
    <w:rsid w:val="7D311748"/>
    <w:rsid w:val="7D3D00ED"/>
    <w:rsid w:val="7DA71A0B"/>
    <w:rsid w:val="7E2B43EA"/>
    <w:rsid w:val="7E635932"/>
    <w:rsid w:val="7EA36676"/>
    <w:rsid w:val="7FDB59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17"/>
    <w:qFormat/>
    <w:uiPriority w:val="0"/>
    <w:pPr>
      <w:numPr>
        <w:ilvl w:val="0"/>
        <w:numId w:val="1"/>
      </w:numPr>
      <w:adjustRightInd w:val="0"/>
      <w:spacing w:before="200" w:after="180" w:line="400" w:lineRule="exact"/>
      <w:ind w:firstLine="643" w:firstLineChars="200"/>
      <w:textAlignment w:val="baseline"/>
      <w:outlineLvl w:val="0"/>
    </w:pPr>
    <w:rPr>
      <w:rFonts w:ascii="Arial" w:hAnsi="Arial" w:eastAsia="黑体" w:cs="Times New Roman"/>
      <w:kern w:val="44"/>
      <w:sz w:val="24"/>
    </w:rPr>
  </w:style>
  <w:style w:type="paragraph" w:styleId="3">
    <w:name w:val="heading 2"/>
    <w:basedOn w:val="1"/>
    <w:next w:val="1"/>
    <w:link w:val="18"/>
    <w:qFormat/>
    <w:uiPriority w:val="0"/>
    <w:pPr>
      <w:numPr>
        <w:ilvl w:val="1"/>
        <w:numId w:val="2"/>
      </w:numPr>
      <w:adjustRightInd w:val="0"/>
      <w:spacing w:line="360" w:lineRule="atLeast"/>
      <w:textAlignment w:val="baseline"/>
      <w:outlineLvl w:val="1"/>
    </w:pPr>
    <w:rPr>
      <w:rFonts w:ascii="Times New Roman" w:hAnsi="Times New Roman" w:eastAsia="宋体" w:cs="Times New Roman"/>
      <w:kern w:val="0"/>
      <w:sz w:val="24"/>
    </w:rPr>
  </w:style>
  <w:style w:type="paragraph" w:styleId="4">
    <w:name w:val="heading 3"/>
    <w:basedOn w:val="1"/>
    <w:next w:val="1"/>
    <w:link w:val="19"/>
    <w:qFormat/>
    <w:uiPriority w:val="0"/>
    <w:pPr>
      <w:numPr>
        <w:ilvl w:val="2"/>
        <w:numId w:val="2"/>
      </w:numPr>
      <w:adjustRightInd w:val="0"/>
      <w:spacing w:line="360" w:lineRule="atLeast"/>
      <w:textAlignment w:val="baseline"/>
      <w:outlineLvl w:val="2"/>
    </w:pPr>
    <w:rPr>
      <w:rFonts w:ascii="Times New Roman" w:hAnsi="Times New Roman" w:eastAsia="宋体" w:cs="Times New Roman"/>
      <w:kern w:val="0"/>
      <w:sz w:val="24"/>
    </w:rPr>
  </w:style>
  <w:style w:type="paragraph" w:styleId="5">
    <w:name w:val="heading 4"/>
    <w:basedOn w:val="4"/>
    <w:next w:val="1"/>
    <w:link w:val="20"/>
    <w:qFormat/>
    <w:uiPriority w:val="0"/>
    <w:pPr>
      <w:numPr>
        <w:ilvl w:val="3"/>
        <w:numId w:val="2"/>
      </w:numPr>
      <w:ind w:left="2240" w:hanging="440"/>
      <w:outlineLvl w:val="3"/>
    </w:pPr>
  </w:style>
  <w:style w:type="paragraph" w:styleId="6">
    <w:name w:val="heading 5"/>
    <w:basedOn w:val="1"/>
    <w:next w:val="1"/>
    <w:link w:val="21"/>
    <w:qFormat/>
    <w:uiPriority w:val="0"/>
    <w:pPr>
      <w:numPr>
        <w:ilvl w:val="4"/>
        <w:numId w:val="2"/>
      </w:numPr>
      <w:adjustRightInd w:val="0"/>
      <w:spacing w:line="360" w:lineRule="atLeast"/>
      <w:textAlignment w:val="baseline"/>
      <w:outlineLvl w:val="4"/>
    </w:pPr>
    <w:rPr>
      <w:rFonts w:ascii="Times New Roman" w:hAnsi="Times New Roman" w:eastAsia="宋体" w:cs="Times New Roman"/>
      <w:kern w:val="0"/>
      <w:sz w:val="24"/>
    </w:rPr>
  </w:style>
  <w:style w:type="paragraph" w:styleId="7">
    <w:name w:val="heading 6"/>
    <w:basedOn w:val="1"/>
    <w:next w:val="1"/>
    <w:link w:val="22"/>
    <w:qFormat/>
    <w:uiPriority w:val="0"/>
    <w:pPr>
      <w:numPr>
        <w:ilvl w:val="5"/>
        <w:numId w:val="2"/>
      </w:numPr>
      <w:adjustRightInd w:val="0"/>
      <w:spacing w:line="360" w:lineRule="atLeast"/>
      <w:textAlignment w:val="baseline"/>
      <w:outlineLvl w:val="5"/>
    </w:pPr>
    <w:rPr>
      <w:rFonts w:ascii="Times New Roman" w:hAnsi="Times New Roman" w:eastAsia="宋体" w:cs="Times New Roman"/>
      <w:kern w:val="0"/>
      <w:sz w:val="24"/>
    </w:rPr>
  </w:style>
  <w:style w:type="paragraph" w:styleId="8">
    <w:name w:val="heading 7"/>
    <w:basedOn w:val="1"/>
    <w:next w:val="1"/>
    <w:link w:val="23"/>
    <w:qFormat/>
    <w:uiPriority w:val="0"/>
    <w:pPr>
      <w:numPr>
        <w:ilvl w:val="6"/>
        <w:numId w:val="2"/>
      </w:numPr>
      <w:adjustRightInd w:val="0"/>
      <w:spacing w:line="360" w:lineRule="atLeast"/>
      <w:ind w:left="1416" w:hanging="850"/>
      <w:textAlignment w:val="baseline"/>
      <w:outlineLvl w:val="6"/>
    </w:pPr>
    <w:rPr>
      <w:rFonts w:ascii="Times New Roman" w:hAnsi="Times New Roman" w:eastAsia="宋体" w:cs="Times New Roman"/>
      <w:color w:val="FF0000"/>
      <w:kern w:val="0"/>
      <w:sz w:val="24"/>
    </w:rPr>
  </w:style>
  <w:style w:type="paragraph" w:styleId="9">
    <w:name w:val="heading 8"/>
    <w:basedOn w:val="1"/>
    <w:next w:val="1"/>
    <w:link w:val="24"/>
    <w:qFormat/>
    <w:uiPriority w:val="0"/>
    <w:pPr>
      <w:numPr>
        <w:ilvl w:val="7"/>
        <w:numId w:val="2"/>
      </w:numPr>
      <w:adjustRightInd w:val="0"/>
      <w:spacing w:line="360" w:lineRule="atLeast"/>
      <w:ind w:left="1893" w:hanging="714"/>
      <w:textAlignment w:val="baseline"/>
      <w:outlineLvl w:val="7"/>
    </w:pPr>
    <w:rPr>
      <w:rFonts w:ascii="Times New Roman" w:hAnsi="Times New Roman" w:eastAsia="宋体" w:cs="Times New Roman"/>
      <w:kern w:val="0"/>
      <w:sz w:val="24"/>
    </w:rPr>
  </w:style>
  <w:style w:type="paragraph" w:styleId="10">
    <w:name w:val="heading 9"/>
    <w:basedOn w:val="1"/>
    <w:next w:val="1"/>
    <w:link w:val="25"/>
    <w:qFormat/>
    <w:uiPriority w:val="0"/>
    <w:pPr>
      <w:numPr>
        <w:ilvl w:val="8"/>
        <w:numId w:val="2"/>
      </w:numPr>
      <w:adjustRightInd w:val="0"/>
      <w:spacing w:line="360" w:lineRule="atLeast"/>
      <w:ind w:left="2596" w:hanging="714"/>
      <w:textAlignment w:val="baseline"/>
      <w:outlineLvl w:val="8"/>
    </w:pPr>
    <w:rPr>
      <w:rFonts w:ascii="Times New Roman" w:hAnsi="Times New Roman" w:eastAsia="宋体" w:cs="Times New Roman"/>
      <w:kern w:val="0"/>
      <w:sz w:val="2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11">
    <w:name w:val="Normal Indent"/>
    <w:basedOn w:val="1"/>
    <w:link w:val="26"/>
    <w:qFormat/>
    <w:uiPriority w:val="0"/>
    <w:pPr>
      <w:adjustRightInd w:val="0"/>
      <w:spacing w:line="360" w:lineRule="atLeast"/>
      <w:ind w:firstLine="482"/>
      <w:textAlignment w:val="baseline"/>
    </w:pPr>
    <w:rPr>
      <w:rFonts w:ascii="Times New Roman" w:hAnsi="Times New Roman" w:eastAsia="宋体" w:cs="Times New Roman"/>
      <w:kern w:val="0"/>
      <w:sz w:val="24"/>
    </w:rPr>
  </w:style>
  <w:style w:type="paragraph" w:styleId="12">
    <w:name w:val="annotation text"/>
    <w:basedOn w:val="1"/>
    <w:qFormat/>
    <w:uiPriority w:val="0"/>
    <w:pPr>
      <w:jc w:val="left"/>
    </w:pPr>
  </w:style>
  <w:style w:type="paragraph" w:styleId="13">
    <w:name w:val="Body Text Indent"/>
    <w:basedOn w:val="1"/>
    <w:qFormat/>
    <w:uiPriority w:val="0"/>
    <w:pPr>
      <w:spacing w:line="200" w:lineRule="atLeast"/>
      <w:ind w:firstLine="301"/>
    </w:pPr>
    <w:rPr>
      <w:rFonts w:ascii="宋体" w:hAnsi="Courier New" w:cs="Times New Roman"/>
      <w:spacing w:val="-4"/>
      <w:sz w:val="18"/>
      <w:szCs w:val="22"/>
    </w:rPr>
  </w:style>
  <w:style w:type="paragraph" w:styleId="14">
    <w:name w:val="Body Text First Indent 2"/>
    <w:basedOn w:val="13"/>
    <w:next w:val="1"/>
    <w:unhideWhenUsed/>
    <w:qFormat/>
    <w:uiPriority w:val="99"/>
    <w:pPr>
      <w:spacing w:after="120"/>
      <w:ind w:left="420" w:leftChars="200" w:firstLine="420" w:firstLineChars="200"/>
    </w:pPr>
    <w:rPr>
      <w:sz w:val="21"/>
    </w:rPr>
  </w:style>
  <w:style w:type="character" w:customStyle="1" w:styleId="17">
    <w:name w:val="标题 1 字符"/>
    <w:link w:val="2"/>
    <w:qFormat/>
    <w:uiPriority w:val="0"/>
    <w:rPr>
      <w:rFonts w:ascii="Arial" w:hAnsi="Arial" w:eastAsia="黑体"/>
      <w:kern w:val="44"/>
      <w:sz w:val="24"/>
    </w:rPr>
  </w:style>
  <w:style w:type="character" w:customStyle="1" w:styleId="18">
    <w:name w:val="标题 2 Char"/>
    <w:link w:val="3"/>
    <w:qFormat/>
    <w:uiPriority w:val="0"/>
    <w:rPr>
      <w:sz w:val="24"/>
    </w:rPr>
  </w:style>
  <w:style w:type="character" w:customStyle="1" w:styleId="19">
    <w:name w:val="H3 Char"/>
    <w:link w:val="4"/>
    <w:qFormat/>
    <w:uiPriority w:val="0"/>
    <w:rPr>
      <w:sz w:val="24"/>
    </w:rPr>
  </w:style>
  <w:style w:type="character" w:customStyle="1" w:styleId="20">
    <w:name w:val="标题 4 字符"/>
    <w:link w:val="5"/>
    <w:qFormat/>
    <w:uiPriority w:val="0"/>
    <w:rPr>
      <w:sz w:val="24"/>
    </w:rPr>
  </w:style>
  <w:style w:type="character" w:customStyle="1" w:styleId="21">
    <w:name w:val="标题 5 字符"/>
    <w:link w:val="6"/>
    <w:qFormat/>
    <w:uiPriority w:val="0"/>
    <w:rPr>
      <w:sz w:val="24"/>
    </w:rPr>
  </w:style>
  <w:style w:type="character" w:customStyle="1" w:styleId="22">
    <w:name w:val="标题 6 字符"/>
    <w:link w:val="7"/>
    <w:qFormat/>
    <w:uiPriority w:val="0"/>
    <w:rPr>
      <w:sz w:val="24"/>
    </w:rPr>
  </w:style>
  <w:style w:type="character" w:customStyle="1" w:styleId="23">
    <w:name w:val="标题 7 Char"/>
    <w:link w:val="8"/>
    <w:qFormat/>
    <w:uiPriority w:val="0"/>
    <w:rPr>
      <w:color w:val="FF0000"/>
      <w:sz w:val="24"/>
    </w:rPr>
  </w:style>
  <w:style w:type="character" w:customStyle="1" w:styleId="24">
    <w:name w:val="标题 8 字符"/>
    <w:link w:val="9"/>
    <w:qFormat/>
    <w:uiPriority w:val="0"/>
    <w:rPr>
      <w:sz w:val="24"/>
    </w:rPr>
  </w:style>
  <w:style w:type="character" w:customStyle="1" w:styleId="25">
    <w:name w:val="标题 9 字符"/>
    <w:link w:val="10"/>
    <w:qFormat/>
    <w:uiPriority w:val="0"/>
    <w:rPr>
      <w:sz w:val="24"/>
    </w:rPr>
  </w:style>
  <w:style w:type="character" w:customStyle="1" w:styleId="26">
    <w:name w:val="正文缩进 Char"/>
    <w:link w:val="11"/>
    <w:qFormat/>
    <w:uiPriority w:val="0"/>
    <w:rPr>
      <w:sz w:val="24"/>
    </w:rPr>
  </w:style>
  <w:style w:type="paragraph" w:styleId="27">
    <w:name w:val="List Paragraph"/>
    <w:basedOn w:val="1"/>
    <w:qFormat/>
    <w:uiPriority w:val="34"/>
    <w:pPr>
      <w:numPr>
        <w:ilvl w:val="0"/>
        <w:numId w:val="3"/>
      </w:numPr>
      <w:spacing w:line="360" w:lineRule="auto"/>
    </w:pPr>
    <w:rPr>
      <w:rFonts w:ascii="宋体" w:hAnsi="宋体" w:eastAsia="宋体" w:cs="宋体"/>
      <w:sz w:val="24"/>
      <w:szCs w:val="24"/>
    </w:rPr>
  </w:style>
  <w:style w:type="character" w:customStyle="1" w:styleId="28">
    <w:name w:val="标题 2 字符"/>
    <w:semiHidden/>
    <w:qFormat/>
    <w:uiPriority w:val="0"/>
    <w:rPr>
      <w:rFonts w:ascii="等线 Light" w:hAnsi="等线 Light" w:eastAsia="等线 Light" w:cs="Times New Roman"/>
      <w:b/>
      <w:bCs/>
      <w:kern w:val="2"/>
      <w:sz w:val="32"/>
      <w:szCs w:val="32"/>
    </w:rPr>
  </w:style>
  <w:style w:type="character" w:customStyle="1" w:styleId="29">
    <w:name w:val="标题 3 字符"/>
    <w:semiHidden/>
    <w:qFormat/>
    <w:uiPriority w:val="0"/>
    <w:rPr>
      <w:rFonts w:ascii="@仿宋_GB2312" w:hAnsi="@仿宋_GB2312" w:eastAsia="@仿宋_GB2312" w:cs="@仿宋_GB2312"/>
      <w:b/>
      <w:bCs/>
      <w:kern w:val="2"/>
      <w:sz w:val="32"/>
      <w:szCs w:val="32"/>
    </w:rPr>
  </w:style>
  <w:style w:type="character" w:customStyle="1" w:styleId="30">
    <w:name w:val="标题 7 字符"/>
    <w:semiHidden/>
    <w:qFormat/>
    <w:uiPriority w:val="0"/>
    <w:rPr>
      <w:rFonts w:ascii="@仿宋_GB2312" w:hAnsi="@仿宋_GB2312" w:eastAsia="@仿宋_GB2312" w:cs="@仿宋_GB2312"/>
      <w:b/>
      <w:bCs/>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6005</Words>
  <Characters>6137</Characters>
  <Lines>37</Lines>
  <Paragraphs>10</Paragraphs>
  <TotalTime>37</TotalTime>
  <ScaleCrop>false</ScaleCrop>
  <LinksUpToDate>false</LinksUpToDate>
  <CharactersWithSpaces>6170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2025-04-08T06:45:00Z</dcterms:created>
  <dc:creator>段小风</dc:creator>
  <cp:lastModifiedBy>莫秋</cp:lastModifiedBy>
  <dcterms:modified xsi:type="dcterms:W3CDTF">2025-05-28T02:03:58Z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eyJoZGlkIjoiY2Y3MzEyOGU5MzBjNDRjYmRiMDBlMDkwNTQ1ZjE3NzIiLCJ1c2VySWQiOiIxMTQwNjk1OTMwIn0=</vt:lpwstr>
  </property>
  <property fmtid="{D5CDD505-2E9C-101B-9397-08002B2CF9AE}" pid="4" name="ICV">
    <vt:lpwstr>538DF2D4EFF4470D83BE45DACE14CDC6_13</vt:lpwstr>
  </property>
</Properties>
</file>