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6</w:t>
      </w:r>
    </w:p>
    <w:p>
      <w:pPr>
        <w:pStyle w:val="4"/>
        <w:keepNext w:val="0"/>
        <w:keepLines w:val="0"/>
        <w:pageBreakBefore w:val="0"/>
        <w:widowControl w:val="0"/>
        <w:kinsoku/>
        <w:wordWrap/>
        <w:overflowPunct/>
        <w:topLinePunct w:val="0"/>
        <w:autoSpaceDE/>
        <w:autoSpaceDN/>
        <w:bidi w:val="0"/>
        <w:spacing w:before="0" w:after="0" w:line="580" w:lineRule="exact"/>
        <w:ind w:left="0" w:leftChars="0" w:firstLine="0" w:firstLineChars="0"/>
        <w:jc w:val="center"/>
        <w:textAlignment w:val="auto"/>
        <w:rPr>
          <w:rFonts w:hint="default" w:ascii="Times New Roman" w:hAnsi="Times New Roman" w:eastAsia="方正小标宋简体" w:cs="Times New Roman"/>
          <w:b w:val="0"/>
          <w:bCs w:val="0"/>
          <w:color w:val="auto"/>
          <w:kern w:val="0"/>
          <w:sz w:val="44"/>
          <w:szCs w:val="44"/>
        </w:rPr>
      </w:pPr>
    </w:p>
    <w:p>
      <w:pPr>
        <w:pStyle w:val="4"/>
        <w:keepNext w:val="0"/>
        <w:keepLines w:val="0"/>
        <w:pageBreakBefore w:val="0"/>
        <w:widowControl w:val="0"/>
        <w:kinsoku/>
        <w:wordWrap/>
        <w:overflowPunct/>
        <w:topLinePunct w:val="0"/>
        <w:autoSpaceDE/>
        <w:autoSpaceDN/>
        <w:bidi w:val="0"/>
        <w:spacing w:before="0" w:after="0" w:line="580" w:lineRule="exact"/>
        <w:ind w:left="0" w:leftChars="0" w:firstLine="0" w:firstLineChars="0"/>
        <w:jc w:val="center"/>
        <w:textAlignment w:val="auto"/>
        <w:rPr>
          <w:rFonts w:hint="default" w:ascii="Times New Roman" w:hAnsi="Times New Roman" w:cs="Times New Roman"/>
          <w:color w:val="auto"/>
          <w:lang w:val="en-US" w:eastAsia="zh-CN"/>
        </w:rPr>
      </w:pPr>
      <w:bookmarkStart w:id="0" w:name="_GoBack"/>
      <w:r>
        <w:rPr>
          <w:rFonts w:hint="default" w:ascii="Times New Roman" w:hAnsi="Times New Roman" w:eastAsia="方正小标宋简体" w:cs="Times New Roman"/>
          <w:b w:val="0"/>
          <w:bCs w:val="0"/>
          <w:color w:val="auto"/>
          <w:kern w:val="0"/>
          <w:sz w:val="44"/>
          <w:szCs w:val="44"/>
        </w:rPr>
        <w:t>创新环境</w:t>
      </w:r>
      <w:r>
        <w:rPr>
          <w:rFonts w:hint="default" w:ascii="Times New Roman" w:hAnsi="Times New Roman" w:eastAsia="方正小标宋简体" w:cs="Times New Roman"/>
          <w:b w:val="0"/>
          <w:bCs w:val="0"/>
          <w:color w:val="auto"/>
          <w:kern w:val="0"/>
          <w:sz w:val="44"/>
          <w:szCs w:val="44"/>
          <w:lang w:eastAsia="zh-CN"/>
        </w:rPr>
        <w:t>（软科学）研究项目</w:t>
      </w:r>
      <w:r>
        <w:rPr>
          <w:rFonts w:hint="eastAsia" w:ascii="Times New Roman" w:hAnsi="Times New Roman" w:eastAsia="方正小标宋简体" w:cs="Times New Roman"/>
          <w:b w:val="0"/>
          <w:bCs w:val="0"/>
          <w:color w:val="auto"/>
          <w:kern w:val="0"/>
          <w:sz w:val="44"/>
          <w:szCs w:val="44"/>
          <w:lang w:eastAsia="zh-CN"/>
        </w:rPr>
        <w:t>申报指南</w:t>
      </w:r>
    </w:p>
    <w:bookmarkEnd w:id="0"/>
    <w:p>
      <w:pPr>
        <w:pStyle w:val="4"/>
        <w:keepNext w:val="0"/>
        <w:keepLines w:val="0"/>
        <w:pageBreakBefore w:val="0"/>
        <w:widowControl w:val="0"/>
        <w:kinsoku/>
        <w:wordWrap/>
        <w:overflowPunct/>
        <w:topLinePunct w:val="0"/>
        <w:autoSpaceDE/>
        <w:autoSpaceDN/>
        <w:bidi w:val="0"/>
        <w:spacing w:before="0" w:after="0" w:line="580" w:lineRule="exact"/>
        <w:textAlignment w:val="auto"/>
        <w:rPr>
          <w:rFonts w:hint="default" w:ascii="Times New Roman" w:hAnsi="Times New Roman" w:cs="Times New Roman"/>
          <w:color w:val="auto"/>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黑体" w:cs="Times New Roman"/>
          <w:snapToGrid w:val="0"/>
          <w:color w:val="auto"/>
          <w:kern w:val="0"/>
          <w:sz w:val="32"/>
          <w:szCs w:val="32"/>
          <w:u w:val="none"/>
          <w:lang w:val="en-US" w:eastAsia="zh-CN"/>
        </w:rPr>
      </w:pPr>
      <w:r>
        <w:rPr>
          <w:rFonts w:hint="default" w:ascii="Times New Roman" w:hAnsi="Times New Roman" w:eastAsia="黑体" w:cs="Times New Roman"/>
          <w:snapToGrid w:val="0"/>
          <w:color w:val="auto"/>
          <w:kern w:val="0"/>
          <w:sz w:val="32"/>
          <w:szCs w:val="32"/>
          <w:u w:val="none"/>
          <w:lang w:val="en-US" w:eastAsia="zh-CN"/>
        </w:rPr>
        <w:t>一、重点课题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1.芜湖市高新技术企业培育路径研究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研究现有芜湖市传统产业、十大战略性新兴产业中各类中小微企业成功申报高企的相关案例，分析企业成长为高企过程中存在的困难与问题及解决的途径与办法，总结高企培育经验，明确高企培育路径，形成可参考、可借鉴、可推广的典型案例。②调研芜湖市现有规模以上工业企业、有资质的建筑业企业及规模以上服务业企业中非高新技术企业的典型案例，从企业规模、产品（服务）类型等方面分析这些企业未申报高企的原因，研究提出有关共性问题。③结合先发地区经验做法</w:t>
      </w:r>
      <w:r>
        <w:rPr>
          <w:rFonts w:hint="eastAsia" w:ascii="Times New Roman" w:hAnsi="Times New Roman" w:eastAsia="仿宋_GB2312" w:cs="Times New Roman"/>
          <w:b w:val="0"/>
          <w:snapToGrid w:val="0"/>
          <w:color w:val="auto"/>
          <w:kern w:val="0"/>
          <w:sz w:val="32"/>
          <w:szCs w:val="32"/>
          <w:highlight w:val="none"/>
          <w:u w:val="none"/>
          <w:lang w:val="en-US" w:eastAsia="zh-CN" w:bidi="ar-SA"/>
        </w:rPr>
        <w:t>及</w:t>
      </w:r>
      <w:r>
        <w:rPr>
          <w:rFonts w:hint="default" w:ascii="Times New Roman" w:hAnsi="Times New Roman" w:eastAsia="仿宋_GB2312" w:cs="Times New Roman"/>
          <w:b w:val="0"/>
          <w:snapToGrid w:val="0"/>
          <w:color w:val="auto"/>
          <w:kern w:val="0"/>
          <w:sz w:val="32"/>
          <w:szCs w:val="32"/>
          <w:highlight w:val="none"/>
          <w:u w:val="none"/>
          <w:lang w:val="en-US" w:eastAsia="zh-CN" w:bidi="ar-SA"/>
        </w:rPr>
        <w:t>我市产业现状，针对性提出提升芜湖市高企培育能力的方法举措。</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预期研究结果：</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①立项后六个月内，提供一份包含各类型企业调研结果的高质量调研报告。②立项后六个月内，针对性提出芜湖市高新技术企业培育措施清单。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bCs/>
          <w:color w:val="auto"/>
          <w:sz w:val="32"/>
          <w:szCs w:val="32"/>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2.芜湖市通用人工智能产业发展研究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color w:val="auto"/>
          <w:sz w:val="32"/>
          <w:szCs w:val="32"/>
          <w:lang w:val="en-US" w:eastAsia="zh-CN"/>
        </w:rPr>
        <w:t>①</w:t>
      </w:r>
      <w:r>
        <w:rPr>
          <w:rFonts w:hint="default" w:ascii="Times New Roman" w:hAnsi="Times New Roman" w:eastAsia="仿宋_GB2312" w:cs="Times New Roman"/>
          <w:color w:val="auto"/>
          <w:sz w:val="32"/>
          <w:szCs w:val="32"/>
        </w:rPr>
        <w:t>分析通用人工智能产业布局趋势，对照国内通用人工智能产业先发地区的产业布局规划、发展经验和模式，研究芜湖市产业发展现状与形势、整体战略布局</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分析芜湖与国内发达地区的差距</w:t>
      </w:r>
      <w:r>
        <w:rPr>
          <w:rFonts w:hint="default" w:ascii="Times New Roman" w:hAnsi="Times New Roman" w:eastAsia="仿宋_GB2312" w:cs="Times New Roman"/>
          <w:color w:val="auto"/>
          <w:sz w:val="32"/>
          <w:szCs w:val="32"/>
          <w:lang w:val="en-US" w:eastAsia="zh-CN"/>
        </w:rPr>
        <w:t>与</w:t>
      </w:r>
      <w:r>
        <w:rPr>
          <w:rFonts w:hint="default" w:ascii="Times New Roman" w:hAnsi="Times New Roman" w:eastAsia="仿宋_GB2312" w:cs="Times New Roman"/>
          <w:color w:val="auto"/>
          <w:sz w:val="32"/>
          <w:szCs w:val="32"/>
        </w:rPr>
        <w:t>优势</w:t>
      </w:r>
      <w:r>
        <w:rPr>
          <w:rFonts w:hint="default" w:ascii="Times New Roman" w:hAnsi="Times New Roman" w:eastAsia="仿宋_GB2312" w:cs="Times New Roman"/>
          <w:color w:val="auto"/>
          <w:sz w:val="32"/>
          <w:szCs w:val="32"/>
          <w:lang w:val="en-US" w:eastAsia="zh-CN"/>
        </w:rPr>
        <w:t>所在</w:t>
      </w:r>
      <w:r>
        <w:rPr>
          <w:rFonts w:hint="default" w:ascii="Times New Roman" w:hAnsi="Times New Roman" w:eastAsia="仿宋_GB2312" w:cs="Times New Roman"/>
          <w:color w:val="auto"/>
          <w:sz w:val="32"/>
          <w:szCs w:val="32"/>
        </w:rPr>
        <w:t>，提出芜湖市通用人工智能产业应用场景和延链补链强链发展的路径建议，明确主要目标、主要任务、保障措施。</w:t>
      </w:r>
      <w:r>
        <w:rPr>
          <w:rFonts w:hint="default" w:ascii="Times New Roman" w:hAnsi="Times New Roman" w:eastAsia="仿宋_GB2312" w:cs="Times New Roman"/>
          <w:color w:val="auto"/>
          <w:sz w:val="32"/>
          <w:szCs w:val="32"/>
          <w:lang w:val="en-US" w:eastAsia="zh-CN"/>
        </w:rPr>
        <w:t>②</w:t>
      </w:r>
      <w:r>
        <w:rPr>
          <w:rFonts w:hint="default" w:ascii="Times New Roman" w:hAnsi="Times New Roman" w:eastAsia="仿宋_GB2312" w:cs="Times New Roman"/>
          <w:color w:val="auto"/>
          <w:sz w:val="32"/>
          <w:szCs w:val="32"/>
        </w:rPr>
        <w:t>梳理分析通用人工智能产业关键环节技术发展方向、应用场景和重大创新产品，尤其是对</w:t>
      </w:r>
      <w:r>
        <w:rPr>
          <w:rFonts w:hint="default" w:ascii="Times New Roman" w:hAnsi="Times New Roman" w:eastAsia="仿宋_GB2312" w:cs="Times New Roman"/>
          <w:color w:val="auto"/>
          <w:sz w:val="32"/>
          <w:szCs w:val="32"/>
          <w:lang w:val="en-US" w:eastAsia="zh-CN"/>
        </w:rPr>
        <w:t>如何构建开放、创新、高效的</w:t>
      </w:r>
      <w:r>
        <w:rPr>
          <w:rFonts w:hint="default" w:ascii="Times New Roman" w:hAnsi="Times New Roman" w:eastAsia="仿宋_GB2312" w:cs="Times New Roman"/>
          <w:color w:val="auto"/>
          <w:sz w:val="32"/>
          <w:szCs w:val="32"/>
        </w:rPr>
        <w:t>通用人工智能产业</w:t>
      </w:r>
      <w:r>
        <w:rPr>
          <w:rFonts w:hint="default" w:ascii="Times New Roman" w:hAnsi="Times New Roman" w:eastAsia="仿宋_GB2312" w:cs="Times New Roman"/>
          <w:color w:val="auto"/>
          <w:sz w:val="32"/>
          <w:szCs w:val="32"/>
          <w:lang w:val="en-US" w:eastAsia="zh-CN"/>
        </w:rPr>
        <w:t>生态</w:t>
      </w:r>
      <w:r>
        <w:rPr>
          <w:rFonts w:hint="default" w:ascii="Times New Roman" w:hAnsi="Times New Roman" w:eastAsia="仿宋_GB2312" w:cs="Times New Roman"/>
          <w:color w:val="auto"/>
          <w:sz w:val="32"/>
          <w:szCs w:val="32"/>
        </w:rPr>
        <w:t>进行深入探讨，明确芜湖市通用人工智能产业的重点发展方向，以及产业关键技术突破方向和有前景的重点支持产品类型。</w:t>
      </w:r>
      <w:r>
        <w:rPr>
          <w:rFonts w:hint="default" w:ascii="Times New Roman" w:hAnsi="Times New Roman" w:eastAsia="仿宋_GB2312" w:cs="Times New Roman"/>
          <w:color w:val="auto"/>
          <w:sz w:val="32"/>
          <w:szCs w:val="32"/>
          <w:lang w:val="en-US" w:eastAsia="zh-CN"/>
        </w:rPr>
        <w:t>③</w:t>
      </w:r>
      <w:r>
        <w:rPr>
          <w:rFonts w:hint="default" w:ascii="Times New Roman" w:hAnsi="Times New Roman" w:eastAsia="仿宋_GB2312" w:cs="Times New Roman"/>
          <w:color w:val="auto"/>
          <w:sz w:val="32"/>
          <w:szCs w:val="32"/>
        </w:rPr>
        <w:t>汇总梳理国家层面通用人工智能产业政策和国内先发地区发展通用人工智能产业的政策措施，提出芜湖市支持通用人工智能产业发展的政策措施、重点工作等参考意见。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预期研究结果：</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①立项后六个月内，提供一份高质量的研究报告</w:t>
      </w:r>
      <w:r>
        <w:rPr>
          <w:rFonts w:hint="eastAsia" w:ascii="Times New Roman" w:hAnsi="Times New Roman" w:eastAsia="仿宋_GB2312" w:cs="Times New Roman"/>
          <w:b w:val="0"/>
          <w:snapToGrid w:val="0"/>
          <w:color w:val="auto"/>
          <w:kern w:val="0"/>
          <w:sz w:val="32"/>
          <w:szCs w:val="32"/>
          <w:highlight w:val="none"/>
          <w:u w:val="none"/>
          <w:lang w:val="en-US" w:eastAsia="zh-CN" w:bidi="ar-SA"/>
        </w:rPr>
        <w:t>（含</w:t>
      </w:r>
      <w:r>
        <w:rPr>
          <w:rFonts w:hint="default" w:ascii="Times New Roman" w:hAnsi="Times New Roman" w:eastAsia="仿宋_GB2312" w:cs="Times New Roman"/>
          <w:b w:val="0"/>
          <w:snapToGrid w:val="0"/>
          <w:color w:val="auto"/>
          <w:kern w:val="0"/>
          <w:sz w:val="32"/>
          <w:szCs w:val="32"/>
          <w:highlight w:val="none"/>
          <w:u w:val="none"/>
          <w:lang w:val="en-US" w:eastAsia="zh-CN" w:bidi="ar-SA"/>
        </w:rPr>
        <w:t>政策建议</w:t>
      </w:r>
      <w:r>
        <w:rPr>
          <w:rFonts w:hint="eastAsia" w:ascii="Times New Roman" w:hAnsi="Times New Roman" w:eastAsia="仿宋_GB2312" w:cs="Times New Roman"/>
          <w:b w:val="0"/>
          <w:snapToGrid w:val="0"/>
          <w:color w:val="auto"/>
          <w:kern w:val="0"/>
          <w:sz w:val="32"/>
          <w:szCs w:val="32"/>
          <w:highlight w:val="none"/>
          <w:u w:val="none"/>
          <w:lang w:val="en-US" w:eastAsia="zh-CN" w:bidi="ar-SA"/>
        </w:rPr>
        <w:t>）</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。②立项后六个月内，提供一套通用人工智能产业链图谱。</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3.芜湖市机器人与增材设备产业创新发展路径研究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研究芜湖市机器人与增材设备产业创新发展路径，全面分析目前该产业领域国际国内及安徽省内的发展现状，梳理芜湖市发展的基础情况，找准芜湖市发展优势和不足之处，提出发展的目标前景、主要方向和重点任务，明确发展路径。②绘制全景图。围绕产业链上中下游，分产业链条、重点企业、重大项目等类别绘制全景图谱。同时立足芜湖市发展情况，绘制我市该产业创新发展全景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预期研究结果：</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①立项后六个月内，提供一份高质量的研究报告。②立项后六个月内，绘制一套芜湖市机器人与增材设备产业创新发展全景图。</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4.芜湖市创新园区发展策略研究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汇总我国关于创新园区方面的政策，梳理地方特色做法及成效（包括但不限于体制机制、人才引进、运营激励、营商环境等方面）。②绘制全国创新园区运营管理单位（团队）图谱，分析优质运营单位（团队）的优势、布局和成效等，给出我市招引团队政策建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预期研究结果：</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①立项后六个月内，提供一份高质量的研究报告。②立项后六个月内，提供一套全国创新园区运营管理单位（团队）图谱。</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5.长三角城市科技创新指标研究分析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梳理、汇总长三角41城市2022年科技创新重点指标数据，包括但不限于全社会研发经费支出、财政科技支出、万名就业人员中研发人员比重、基础财政支持经费、国家级科技成果奖数、高新技术企业数、科技型中小企业数、技术合同成交额、孵化载体数、地区生产总值、人均地区生产总值等。②逐项提出芜湖市科技创新重点指标对标看齐城市及锻长补短举措，形成芜湖市科技创新重点指标提升措施研究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预期研究成果：</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①立项后六个月内，提供长三角41城市科技创新重点指标一套表。②实施期结束后，提供芜湖市科技创新重点指标提升措施研究报告。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6.芜湖市基础研究重点领域和方向研究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①摸排我市具备开展基础研究能力的企事业单位，梳理各单位基础研究领域和方向。②结合省基础研究布局，提出我市基础研究需重点投入方向，并给出相关发展建议。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预期研究成果：</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①立项后六个月内，提供芜湖市基础研究单位清单（包括但不限于单位基本信息、基础研究领域和方向等）。②实施期结束后，提供芜湖市基础研究重点发展方向研究报告。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7.创新创业团队、科技型初创企业扶持机制调研分析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b w:val="0"/>
          <w:snapToGrid w:val="0"/>
          <w:color w:val="auto"/>
          <w:kern w:val="0"/>
          <w:sz w:val="32"/>
          <w:szCs w:val="32"/>
          <w:highlight w:val="none"/>
          <w:u w:val="none"/>
          <w:lang w:val="en-US" w:eastAsia="zh-CN" w:bidi="ar-SA"/>
        </w:rPr>
        <w:t>①安徽省内其他地市高层次科技人才团队招引、评审、扶持政策及具体做法，以合肥、滁州为主。②上海、南京、苏州、无锡、宁波等长三角先进地区在创新创业团队、科技型初创企业方面的扶持政策及具体做法。③分析各地区经验做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预期研究结果：</w:t>
      </w:r>
      <w:r>
        <w:rPr>
          <w:rFonts w:hint="default" w:ascii="Times New Roman" w:hAnsi="Times New Roman" w:eastAsia="仿宋_GB2312" w:cs="Times New Roman"/>
          <w:b w:val="0"/>
          <w:snapToGrid w:val="0"/>
          <w:color w:val="auto"/>
          <w:kern w:val="0"/>
          <w:sz w:val="32"/>
          <w:szCs w:val="32"/>
          <w:highlight w:val="none"/>
          <w:u w:val="none"/>
          <w:lang w:val="en-US" w:eastAsia="zh-CN" w:bidi="ar-SA"/>
        </w:rPr>
        <w:t>立项后六个月内，提供调研报告，介绍并分析各地区的经验做法。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8.芜湖市智能网联汽车产业链创新平台体系研究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b w:val="0"/>
          <w:snapToGrid w:val="0"/>
          <w:color w:val="auto"/>
          <w:kern w:val="0"/>
          <w:sz w:val="32"/>
          <w:szCs w:val="32"/>
          <w:highlight w:val="none"/>
          <w:u w:val="none"/>
          <w:lang w:val="en-US" w:eastAsia="zh-CN" w:bidi="ar-SA"/>
        </w:rPr>
        <w:t>研究芜湖市智能网联汽车产业链创新平台体系，全面分析全国发展状况，分析产业链上中下游痛点堵点及国内相关先进经验，在调研芜湖市该产业链创新平台的基础上，找准我市的优势和短板，提出发展建议。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预期研究结果：</w:t>
      </w:r>
      <w:r>
        <w:rPr>
          <w:rFonts w:hint="default" w:ascii="Times New Roman" w:hAnsi="Times New Roman" w:eastAsia="仿宋_GB2312" w:cs="Times New Roman"/>
          <w:b w:val="0"/>
          <w:snapToGrid w:val="0"/>
          <w:color w:val="auto"/>
          <w:kern w:val="0"/>
          <w:sz w:val="32"/>
          <w:szCs w:val="32"/>
          <w:highlight w:val="none"/>
          <w:u w:val="none"/>
          <w:lang w:val="en-US" w:eastAsia="zh-CN" w:bidi="ar-SA"/>
        </w:rPr>
        <w:t>立项后六个月内，提供一份高质量的研究报告。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9.芜湖市科技企业孵化器、众创空间高质量发展研究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b w:val="0"/>
          <w:snapToGrid w:val="0"/>
          <w:color w:val="auto"/>
          <w:kern w:val="0"/>
          <w:sz w:val="32"/>
          <w:szCs w:val="32"/>
          <w:highlight w:val="none"/>
          <w:u w:val="none"/>
          <w:lang w:val="en-US" w:eastAsia="zh-CN" w:bidi="ar-SA"/>
        </w:rPr>
        <w:t>梳理我国科技企业孵化器、众创空间发展脉络，分析孵化载体1.0、2.0、3.0、4.0版发展模式，对我市科技企业孵化器、众创空间发展情况进行全面分析，结合芜湖实际，提出高质量发展路径建议。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预期研究结果：</w:t>
      </w:r>
      <w:r>
        <w:rPr>
          <w:rFonts w:hint="default" w:ascii="Times New Roman" w:hAnsi="Times New Roman" w:eastAsia="仿宋_GB2312" w:cs="Times New Roman"/>
          <w:b w:val="0"/>
          <w:snapToGrid w:val="0"/>
          <w:color w:val="auto"/>
          <w:kern w:val="0"/>
          <w:sz w:val="32"/>
          <w:szCs w:val="32"/>
          <w:highlight w:val="none"/>
          <w:u w:val="none"/>
          <w:lang w:val="en-US" w:eastAsia="zh-CN" w:bidi="ar-SA"/>
        </w:rPr>
        <w:t>立项后六个月内，提供一份高质量的研究报告。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10.2020年度芜湖市科技计划项目绩效评估分析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b w:val="0"/>
          <w:snapToGrid w:val="0"/>
          <w:color w:val="auto"/>
          <w:kern w:val="0"/>
          <w:sz w:val="32"/>
          <w:szCs w:val="32"/>
          <w:highlight w:val="none"/>
          <w:u w:val="none"/>
          <w:lang w:val="en-US" w:eastAsia="zh-CN" w:bidi="ar-SA"/>
        </w:rPr>
        <w:t>对2020年第我市科技计划项目立项的165项项目以及财政支持的资金2416.7万元，开展项目实施及资金使用的绩效分析评价，分析2020年度芜湖市科技计划项目的实施特点，并提出发展建议，包括：①芜湖市科技计划项目立项情况；②芜湖市科技计划项目实施绩效；③芜湖市科技计划项目的实施特点；④芜湖市科技计划项目发展建议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预期研究成果：</w:t>
      </w:r>
      <w:r>
        <w:rPr>
          <w:rFonts w:hint="default" w:ascii="Times New Roman" w:hAnsi="Times New Roman" w:eastAsia="仿宋_GB2312" w:cs="Times New Roman"/>
          <w:b w:val="0"/>
          <w:snapToGrid w:val="0"/>
          <w:color w:val="auto"/>
          <w:kern w:val="0"/>
          <w:sz w:val="32"/>
          <w:szCs w:val="32"/>
          <w:highlight w:val="none"/>
          <w:u w:val="none"/>
          <w:lang w:val="en-US" w:eastAsia="zh-CN" w:bidi="ar-SA"/>
        </w:rPr>
        <w:t>提供一份高质量的《2020年度芜湖市科技计划项目绩效分析报告》。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11.芜湖市科技支撑碳达峰碳中和实施方案研究</w:t>
      </w:r>
    </w:p>
    <w:p>
      <w:pPr>
        <w:keepNext w:val="0"/>
        <w:keepLines w:val="0"/>
        <w:pageBreakBefore w:val="0"/>
        <w:widowControl w:val="0"/>
        <w:kinsoku/>
        <w:overflowPunct/>
        <w:topLinePunct w:val="0"/>
        <w:autoSpaceDE/>
        <w:autoSpaceDN/>
        <w:bidi w:val="0"/>
        <w:spacing w:line="580" w:lineRule="exact"/>
        <w:ind w:firstLine="640" w:firstLineChars="200"/>
        <w:textAlignment w:val="auto"/>
        <w:rPr>
          <w:rFonts w:hint="default" w:ascii="Times New Roman" w:hAnsi="Times New Roman" w:eastAsia="仿宋_GB2312" w:cs="Times New Roman"/>
          <w:snapToGrid w:val="0"/>
          <w:color w:val="auto"/>
          <w:kern w:val="0"/>
          <w:sz w:val="32"/>
          <w:szCs w:val="32"/>
        </w:rPr>
      </w:pPr>
      <w:r>
        <w:rPr>
          <w:rFonts w:hint="default" w:ascii="Times New Roman" w:hAnsi="Times New Roman" w:eastAsia="楷体_GB2312" w:cs="Times New Roman"/>
          <w:snapToGrid w:val="0"/>
          <w:color w:val="auto"/>
          <w:kern w:val="0"/>
          <w:sz w:val="32"/>
          <w:szCs w:val="32"/>
        </w:rPr>
        <w:t>研究内容：</w:t>
      </w:r>
      <w:r>
        <w:rPr>
          <w:rFonts w:hint="default" w:ascii="Times New Roman" w:hAnsi="Times New Roman" w:eastAsia="仿宋_GB2312" w:cs="Times New Roman"/>
          <w:snapToGrid w:val="0"/>
          <w:color w:val="auto"/>
          <w:kern w:val="0"/>
          <w:sz w:val="32"/>
          <w:szCs w:val="32"/>
        </w:rPr>
        <w:t>① 通过对芜湖市各重点领域重点行业碳排放现状和碳减排技术的调研，聚焦于芜湖市经济社会发展需求，立足于芜湖市科技创新态势，发挥科技创新的支撑作用，提出芜湖市科技支撑碳达峰碳中和实施方案，明确主要目标、重点任务与保障措施。② 全面分析芜湖市能源、工业、建筑、交通等重点领域重点企业的低碳技术发展情况，针对性地提出科技支撑碳达峰碳中和的重点建设工程。围绕碳达峰碳中和基础研究、技术研发、成果转化示范等方面，打造任务明确、路径清晰的重点行动方案。</w:t>
      </w:r>
    </w:p>
    <w:p>
      <w:pPr>
        <w:keepNext w:val="0"/>
        <w:keepLines w:val="0"/>
        <w:pageBreakBefore w:val="0"/>
        <w:widowControl w:val="0"/>
        <w:kinsoku/>
        <w:overflowPunct/>
        <w:topLinePunct w:val="0"/>
        <w:autoSpaceDE/>
        <w:autoSpaceDN/>
        <w:bidi w:val="0"/>
        <w:spacing w:line="580" w:lineRule="exact"/>
        <w:ind w:firstLine="640" w:firstLineChars="200"/>
        <w:textAlignment w:val="auto"/>
        <w:rPr>
          <w:rFonts w:hint="default" w:ascii="Times New Roman" w:hAnsi="Times New Roman" w:eastAsia="仿宋_GB2312" w:cs="Times New Roman"/>
          <w:snapToGrid w:val="0"/>
          <w:color w:val="auto"/>
          <w:kern w:val="0"/>
          <w:sz w:val="32"/>
          <w:szCs w:val="32"/>
        </w:rPr>
      </w:pPr>
      <w:r>
        <w:rPr>
          <w:rFonts w:hint="default" w:ascii="Times New Roman" w:hAnsi="Times New Roman" w:eastAsia="楷体_GB2312" w:cs="Times New Roman"/>
          <w:snapToGrid w:val="0"/>
          <w:color w:val="auto"/>
          <w:kern w:val="0"/>
          <w:sz w:val="32"/>
          <w:szCs w:val="32"/>
        </w:rPr>
        <w:t>预期研究成果：</w:t>
      </w:r>
      <w:r>
        <w:rPr>
          <w:rFonts w:hint="default" w:ascii="Times New Roman" w:hAnsi="Times New Roman" w:eastAsia="仿宋_GB2312" w:cs="Times New Roman"/>
          <w:snapToGrid w:val="0"/>
          <w:color w:val="auto"/>
          <w:kern w:val="0"/>
          <w:sz w:val="32"/>
          <w:szCs w:val="32"/>
        </w:rPr>
        <w:t>立项后六个月内，研究芜湖市重点领域、重点企业的低碳科技发展情况，</w:t>
      </w:r>
      <w:r>
        <w:rPr>
          <w:rFonts w:hint="default" w:ascii="Times New Roman" w:hAnsi="Times New Roman" w:eastAsia="仿宋_GB2312" w:cs="Times New Roman"/>
          <w:snapToGrid w:val="0"/>
          <w:color w:val="auto"/>
          <w:kern w:val="0"/>
          <w:sz w:val="32"/>
          <w:szCs w:val="32"/>
          <w:lang w:eastAsia="zh-CN"/>
        </w:rPr>
        <w:t>列出</w:t>
      </w:r>
      <w:r>
        <w:rPr>
          <w:rFonts w:hint="default" w:ascii="Times New Roman" w:hAnsi="Times New Roman" w:eastAsia="仿宋_GB2312" w:cs="Times New Roman"/>
          <w:snapToGrid w:val="0"/>
          <w:color w:val="auto"/>
          <w:kern w:val="0"/>
          <w:sz w:val="32"/>
          <w:szCs w:val="32"/>
        </w:rPr>
        <w:t>具体的建设工程与行动</w:t>
      </w:r>
      <w:r>
        <w:rPr>
          <w:rFonts w:hint="default" w:ascii="Times New Roman" w:hAnsi="Times New Roman" w:eastAsia="仿宋_GB2312" w:cs="Times New Roman"/>
          <w:snapToGrid w:val="0"/>
          <w:color w:val="auto"/>
          <w:kern w:val="0"/>
          <w:sz w:val="32"/>
          <w:szCs w:val="32"/>
          <w:lang w:eastAsia="zh-CN"/>
        </w:rPr>
        <w:t>，</w:t>
      </w:r>
      <w:r>
        <w:rPr>
          <w:rFonts w:hint="default" w:ascii="Times New Roman" w:hAnsi="Times New Roman" w:eastAsia="仿宋_GB2312" w:cs="Times New Roman"/>
          <w:snapToGrid w:val="0"/>
          <w:color w:val="auto"/>
          <w:kern w:val="0"/>
          <w:sz w:val="32"/>
          <w:szCs w:val="32"/>
        </w:rPr>
        <w:t>提出芜湖市科技支撑碳达峰碳中和实施方案报告与建议，明确主要目标、重点任务、保障措施。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12.芜湖市科技成果转化现状和发展路径</w:t>
      </w:r>
      <w:r>
        <w:rPr>
          <w:rFonts w:hint="eastAsia" w:ascii="Times New Roman" w:hAnsi="Times New Roman" w:eastAsia="楷体_GB2312" w:cs="Times New Roman"/>
          <w:b w:val="0"/>
          <w:snapToGrid w:val="0"/>
          <w:color w:val="auto"/>
          <w:kern w:val="0"/>
          <w:sz w:val="32"/>
          <w:szCs w:val="32"/>
          <w:highlight w:val="none"/>
          <w:u w:val="none"/>
          <w:lang w:val="en-US" w:eastAsia="zh-CN" w:bidi="ar-SA"/>
        </w:rPr>
        <w:t>研究</w:t>
      </w:r>
    </w:p>
    <w:p>
      <w:pPr>
        <w:keepNext w:val="0"/>
        <w:keepLines w:val="0"/>
        <w:pageBreakBefore w:val="0"/>
        <w:widowControl w:val="0"/>
        <w:kinsoku/>
        <w:overflowPunct/>
        <w:topLinePunct w:val="0"/>
        <w:autoSpaceDE/>
        <w:autoSpaceDN/>
        <w:bidi w:val="0"/>
        <w:spacing w:line="580" w:lineRule="exact"/>
        <w:ind w:firstLine="640" w:firstLineChars="200"/>
        <w:textAlignment w:val="auto"/>
        <w:rPr>
          <w:rFonts w:hint="default" w:ascii="Times New Roman" w:hAnsi="Times New Roman" w:eastAsia="仿宋_GB2312" w:cs="Times New Roman"/>
          <w:snapToGrid w:val="0"/>
          <w:color w:val="auto"/>
          <w:kern w:val="0"/>
          <w:sz w:val="32"/>
          <w:szCs w:val="32"/>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研究内容：</w:t>
      </w:r>
      <w:r>
        <w:rPr>
          <w:rFonts w:hint="default" w:ascii="Times New Roman" w:hAnsi="Times New Roman" w:eastAsia="仿宋_GB2312" w:cs="Times New Roman"/>
          <w:snapToGrid w:val="0"/>
          <w:color w:val="auto"/>
          <w:kern w:val="0"/>
          <w:sz w:val="32"/>
          <w:szCs w:val="32"/>
        </w:rPr>
        <w:t>①调研分析芜湖市科技成果转化现状（其中挖掘不少于5个芜湖科技成果转化典型案例）；②围绕出台政策、参与主体、绩效评价等搭建全维度科技成果转化体系框架；③提出科学、完整、可操作性强的科技成果转化（整体、个人）评价指标；④梳理</w:t>
      </w:r>
      <w:r>
        <w:rPr>
          <w:rFonts w:hint="eastAsia" w:ascii="Times New Roman" w:hAnsi="Times New Roman" w:eastAsia="仿宋_GB2312" w:cs="Times New Roman"/>
          <w:snapToGrid w:val="0"/>
          <w:color w:val="auto"/>
          <w:kern w:val="0"/>
          <w:sz w:val="32"/>
          <w:szCs w:val="32"/>
          <w:lang w:val="en-US" w:eastAsia="zh-CN"/>
        </w:rPr>
        <w:t>不少于5个</w:t>
      </w:r>
      <w:r>
        <w:rPr>
          <w:rFonts w:hint="default" w:ascii="Times New Roman" w:hAnsi="Times New Roman" w:eastAsia="仿宋_GB2312" w:cs="Times New Roman"/>
          <w:snapToGrid w:val="0"/>
          <w:color w:val="auto"/>
          <w:kern w:val="0"/>
          <w:sz w:val="32"/>
          <w:szCs w:val="32"/>
        </w:rPr>
        <w:t>江浙沪地级市工作成效显著的经验做法，结合芜湖市当前科技成果转化制约因素，提出符合当地经济社会发展的破局方案。</w:t>
      </w:r>
    </w:p>
    <w:p>
      <w:pPr>
        <w:keepNext w:val="0"/>
        <w:keepLines w:val="0"/>
        <w:pageBreakBefore w:val="0"/>
        <w:widowControl w:val="0"/>
        <w:kinsoku/>
        <w:overflowPunct/>
        <w:topLinePunct w:val="0"/>
        <w:autoSpaceDE/>
        <w:autoSpaceDN/>
        <w:bidi w:val="0"/>
        <w:spacing w:line="580" w:lineRule="exact"/>
        <w:ind w:firstLine="640" w:firstLineChars="200"/>
        <w:textAlignment w:val="auto"/>
        <w:rPr>
          <w:rFonts w:hint="default" w:ascii="Times New Roman" w:hAnsi="Times New Roman" w:eastAsia="仿宋_GB2312" w:cs="Times New Roman"/>
          <w:snapToGrid w:val="0"/>
          <w:color w:val="auto"/>
          <w:kern w:val="0"/>
          <w:sz w:val="32"/>
          <w:szCs w:val="32"/>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预期研究结果：</w:t>
      </w:r>
      <w:r>
        <w:rPr>
          <w:rFonts w:hint="default" w:ascii="Times New Roman" w:hAnsi="Times New Roman" w:eastAsia="仿宋_GB2312" w:cs="Times New Roman"/>
          <w:snapToGrid w:val="0"/>
          <w:color w:val="auto"/>
          <w:kern w:val="0"/>
          <w:sz w:val="32"/>
          <w:szCs w:val="32"/>
        </w:rPr>
        <w:t>①立项后六个月内，提供一份高质量的研究报告；②立项后六个月内，建立一套（整体、个人）科技成果转化绩效评价指标</w:t>
      </w:r>
      <w:r>
        <w:rPr>
          <w:rFonts w:hint="eastAsia" w:ascii="Times New Roman" w:hAnsi="Times New Roman" w:eastAsia="仿宋_GB2312" w:cs="Times New Roman"/>
          <w:snapToGrid w:val="0"/>
          <w:color w:val="auto"/>
          <w:kern w:val="0"/>
          <w:sz w:val="32"/>
          <w:szCs w:val="32"/>
          <w:lang w:val="en-US" w:eastAsia="zh-CN"/>
        </w:rPr>
        <w:t>建议</w:t>
      </w:r>
      <w:r>
        <w:rPr>
          <w:rFonts w:hint="default" w:ascii="Times New Roman" w:hAnsi="Times New Roman" w:eastAsia="仿宋_GB2312" w:cs="Times New Roman"/>
          <w:snapToGrid w:val="0"/>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黑体" w:cs="Times New Roman"/>
          <w:snapToGrid w:val="0"/>
          <w:color w:val="auto"/>
          <w:kern w:val="0"/>
          <w:sz w:val="36"/>
          <w:szCs w:val="36"/>
          <w:u w:val="none"/>
          <w:lang w:val="en-US" w:eastAsia="zh-CN"/>
        </w:rPr>
      </w:pPr>
      <w:r>
        <w:rPr>
          <w:rFonts w:hint="default" w:ascii="Times New Roman" w:hAnsi="Times New Roman" w:eastAsia="黑体" w:cs="Times New Roman"/>
          <w:snapToGrid w:val="0"/>
          <w:color w:val="auto"/>
          <w:kern w:val="0"/>
          <w:sz w:val="32"/>
          <w:szCs w:val="32"/>
          <w:u w:val="none"/>
          <w:lang w:val="en-US" w:eastAsia="zh-CN"/>
        </w:rPr>
        <w:t>二、一般课题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仿宋_GB2312" w:cs="Times New Roman"/>
          <w:b w:val="0"/>
          <w:snapToGrid w:val="0"/>
          <w:color w:val="auto"/>
          <w:kern w:val="0"/>
          <w:sz w:val="32"/>
          <w:szCs w:val="32"/>
          <w:highlight w:val="none"/>
          <w:u w:val="none"/>
          <w:lang w:val="en-US" w:eastAsia="zh-CN" w:bidi="ar-SA"/>
        </w:rPr>
        <w:t>支持科技创新体系构建、科技创新主体培育、科技创新赋能高质量发展等方面研究，亦可聚焦我市科技创新需求自选研究方向。</w:t>
      </w:r>
    </w:p>
    <w:p>
      <w:pPr>
        <w:keepNext w:val="0"/>
        <w:keepLines w:val="0"/>
        <w:pageBreakBefore w:val="0"/>
        <w:widowControl w:val="0"/>
        <w:numPr>
          <w:ilvl w:val="0"/>
          <w:numId w:val="1"/>
        </w:numPr>
        <w:kinsoku/>
        <w:wordWrap/>
        <w:overflowPunct/>
        <w:topLinePunct w:val="0"/>
        <w:autoSpaceDE/>
        <w:autoSpaceDN/>
        <w:bidi w:val="0"/>
        <w:spacing w:line="580" w:lineRule="exact"/>
        <w:ind w:firstLine="640" w:firstLineChars="200"/>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科技创新体系构建方面：</w:t>
      </w:r>
      <w:r>
        <w:rPr>
          <w:rFonts w:hint="default" w:ascii="Times New Roman" w:hAnsi="Times New Roman" w:eastAsia="仿宋_GB2312" w:cs="Times New Roman"/>
          <w:b w:val="0"/>
          <w:snapToGrid w:val="0"/>
          <w:color w:val="auto"/>
          <w:kern w:val="0"/>
          <w:sz w:val="32"/>
          <w:szCs w:val="32"/>
          <w:highlight w:val="none"/>
          <w:u w:val="none"/>
          <w:lang w:val="en-US" w:eastAsia="zh-CN" w:bidi="ar-SA"/>
        </w:rPr>
        <w:t>推进国家自主创新示范区、国家创新型城市与国家科技成果转移转化示范区联动发展，深化科技体制机制改革，优化科技创新生态，推动科技创新治理体系和治理能力现代化路径研究；科技发展重点领域和重大专项谋划，“揭榜挂帅”等新型组织实施模式研究；加快长三角科技创新共同体、G60科创走廊、南京都市圈、合肥都市圈建设，推动协同创新、实施资源共享路径研究。</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2. 科技创新主体培育方面：</w:t>
      </w:r>
      <w:r>
        <w:rPr>
          <w:rFonts w:hint="default" w:ascii="Times New Roman" w:hAnsi="Times New Roman" w:eastAsia="仿宋_GB2312" w:cs="Times New Roman"/>
          <w:b w:val="0"/>
          <w:snapToGrid w:val="0"/>
          <w:color w:val="auto"/>
          <w:kern w:val="0"/>
          <w:sz w:val="32"/>
          <w:szCs w:val="32"/>
          <w:highlight w:val="none"/>
          <w:u w:val="none"/>
          <w:lang w:val="en-US" w:eastAsia="zh-CN" w:bidi="ar-SA"/>
        </w:rPr>
        <w:t>引导企业加大研发投入、招引创新人才、建设研发平台的政策研究，实施人才、资金绩效评价评估，推进“双招双引”；加强科技金融融合，发挥创投基金作用，优化基金运营模式，引导社会资本支持科技创新研究。</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楷体_GB2312" w:cs="Times New Roman"/>
          <w:b w:val="0"/>
          <w:snapToGrid w:val="0"/>
          <w:color w:val="auto"/>
          <w:kern w:val="0"/>
          <w:sz w:val="32"/>
          <w:szCs w:val="32"/>
          <w:highlight w:val="none"/>
          <w:u w:val="none"/>
          <w:lang w:val="en-US" w:eastAsia="zh-CN" w:bidi="ar-SA"/>
        </w:rPr>
        <w:t>3. 科技创新赋能高质量发展方面：</w:t>
      </w:r>
      <w:r>
        <w:rPr>
          <w:rFonts w:hint="default" w:ascii="Times New Roman" w:hAnsi="Times New Roman" w:eastAsia="仿宋_GB2312" w:cs="Times New Roman"/>
          <w:b w:val="0"/>
          <w:snapToGrid w:val="0"/>
          <w:color w:val="auto"/>
          <w:kern w:val="0"/>
          <w:sz w:val="32"/>
          <w:szCs w:val="32"/>
          <w:highlight w:val="none"/>
          <w:u w:val="none"/>
          <w:lang w:val="en-US" w:eastAsia="zh-CN" w:bidi="ar-SA"/>
        </w:rPr>
        <w:t>聚焦“两强一增”、医疗卫生、动植物种业、人口生命健康、未成年人保护、老龄服务、大气水土壤污染防治与处理、气象科技、食品药品安全、碳达峰碳中和、污染防治、垃圾分类治理、节能节水、智慧城市、公共（消防）安全、防灾减灾、安全生产、援藏援疆、军民融合、科技文化融合等民生领域，提升科技创新支撑作用举措研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黑体" w:cs="Times New Roman"/>
          <w:snapToGrid w:val="0"/>
          <w:color w:val="auto"/>
          <w:kern w:val="0"/>
          <w:sz w:val="32"/>
          <w:szCs w:val="32"/>
          <w:u w:val="none"/>
          <w:lang w:val="en-US" w:eastAsia="zh-CN"/>
        </w:rPr>
      </w:pPr>
      <w:r>
        <w:rPr>
          <w:rFonts w:hint="default" w:ascii="Times New Roman" w:hAnsi="Times New Roman" w:eastAsia="黑体" w:cs="Times New Roman"/>
          <w:snapToGrid w:val="0"/>
          <w:color w:val="auto"/>
          <w:kern w:val="0"/>
          <w:sz w:val="32"/>
          <w:szCs w:val="32"/>
          <w:u w:val="none"/>
          <w:lang w:val="en-US" w:eastAsia="zh-CN"/>
        </w:rPr>
        <w:t>三、申报要求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仿宋_GB2312" w:cs="Times New Roman"/>
          <w:b w:val="0"/>
          <w:snapToGrid w:val="0"/>
          <w:color w:val="auto"/>
          <w:kern w:val="0"/>
          <w:sz w:val="32"/>
          <w:szCs w:val="32"/>
          <w:highlight w:val="none"/>
          <w:u w:val="none"/>
          <w:lang w:val="en-US" w:eastAsia="zh-CN" w:bidi="ar-SA"/>
        </w:rPr>
        <w:t>1. 鼓励企业、高校科研院所、医疗卫生机构等联合申报，尤其是市内企事业单位与国内外高校院所联合申报。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仿宋_GB2312" w:cs="Times New Roman"/>
          <w:b w:val="0"/>
          <w:snapToGrid w:val="0"/>
          <w:color w:val="auto"/>
          <w:kern w:val="0"/>
          <w:sz w:val="32"/>
          <w:szCs w:val="32"/>
          <w:highlight w:val="none"/>
          <w:u w:val="none"/>
          <w:lang w:val="en-US" w:eastAsia="zh-CN" w:bidi="ar-SA"/>
        </w:rPr>
        <w:t>2. 申报项目应符合创新环境（软科学）项目定位要求，研究成果应具有实际应用价值、可操作性和一定前瞻性。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仿宋_GB2312" w:cs="Times New Roman"/>
          <w:b w:val="0"/>
          <w:snapToGrid w:val="0"/>
          <w:color w:val="auto"/>
          <w:kern w:val="0"/>
          <w:sz w:val="32"/>
          <w:szCs w:val="32"/>
          <w:highlight w:val="none"/>
          <w:u w:val="none"/>
          <w:lang w:val="en-US" w:eastAsia="zh-CN" w:bidi="ar-SA"/>
        </w:rPr>
        <w:t>3. 项目研究报告应立足芜湖，涉及主要研究问题、现状分析、调研案例、实证研究及对策建议等内容，实证及调研的文字篇幅应占总篇幅的50%以上。对策建议部分应具有科学依据，有较高的可操作性与可行性。研究报告字数原则上不少于1万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snapToGrid w:val="0"/>
          <w:color w:val="auto"/>
          <w:kern w:val="0"/>
          <w:sz w:val="32"/>
          <w:szCs w:val="32"/>
          <w:highlight w:val="none"/>
          <w:u w:val="none"/>
          <w:lang w:val="en-US" w:eastAsia="zh-CN" w:bidi="ar-SA"/>
        </w:rPr>
      </w:pPr>
      <w:r>
        <w:rPr>
          <w:rFonts w:hint="default" w:ascii="Times New Roman" w:hAnsi="Times New Roman" w:eastAsia="仿宋_GB2312" w:cs="Times New Roman"/>
          <w:b w:val="0"/>
          <w:snapToGrid w:val="0"/>
          <w:color w:val="auto"/>
          <w:kern w:val="0"/>
          <w:sz w:val="32"/>
          <w:szCs w:val="32"/>
          <w:highlight w:val="none"/>
          <w:u w:val="none"/>
          <w:lang w:val="en-US" w:eastAsia="zh-CN" w:bidi="ar-SA"/>
        </w:rPr>
        <w:t>4. 项目实施周期原则上不得超过1年。</w:t>
      </w:r>
    </w:p>
    <w:p>
      <w:pPr>
        <w:pStyle w:val="4"/>
        <w:keepNext w:val="0"/>
        <w:keepLines w:val="0"/>
        <w:pageBreakBefore w:val="0"/>
        <w:widowControl w:val="0"/>
        <w:kinsoku/>
        <w:overflowPunct/>
        <w:topLinePunct w:val="0"/>
        <w:autoSpaceDE/>
        <w:autoSpaceDN/>
        <w:bidi w:val="0"/>
        <w:spacing w:before="0" w:after="0" w:line="580" w:lineRule="exact"/>
        <w:ind w:firstLine="640" w:firstLineChars="200"/>
        <w:jc w:val="left"/>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5.</w:t>
      </w:r>
      <w:r>
        <w:rPr>
          <w:rFonts w:hint="eastAsia" w:ascii="Times New Roman" w:hAnsi="Times New Roman" w:eastAsia="仿宋_GB2312" w:cs="Times New Roman"/>
          <w:b w:val="0"/>
          <w:bCs w:val="0"/>
          <w:color w:val="auto"/>
          <w:sz w:val="32"/>
          <w:szCs w:val="32"/>
          <w:lang w:val="en-US" w:eastAsia="zh-CN"/>
        </w:rPr>
        <w:t xml:space="preserve"> </w:t>
      </w:r>
      <w:r>
        <w:rPr>
          <w:rFonts w:hint="default" w:ascii="Times New Roman" w:hAnsi="Times New Roman" w:eastAsia="仿宋_GB2312" w:cs="Times New Roman"/>
          <w:b w:val="0"/>
          <w:bCs w:val="0"/>
          <w:color w:val="auto"/>
          <w:sz w:val="32"/>
          <w:szCs w:val="32"/>
          <w:lang w:eastAsia="zh-CN"/>
        </w:rPr>
        <w:t>无自筹资金要求，如财政支持资金低于申请资金，需自筹资金补足差额部分</w:t>
      </w:r>
      <w:r>
        <w:rPr>
          <w:rFonts w:hint="eastAsia" w:ascii="Times New Roman" w:hAnsi="Times New Roman" w:eastAsia="仿宋_GB2312" w:cs="Times New Roman"/>
          <w:b w:val="0"/>
          <w:bCs w:val="0"/>
          <w:color w:val="auto"/>
          <w:sz w:val="32"/>
          <w:szCs w:val="32"/>
          <w:lang w:eastAsia="zh-CN"/>
        </w:rPr>
        <w:t>。</w:t>
      </w:r>
    </w:p>
    <w:p>
      <w:pPr>
        <w:rPr>
          <w:rFonts w:hint="eastAsia" w:ascii="仿宋_GB2312" w:hAnsi="仿宋_GB2312" w:eastAsia="仿宋_GB2312" w:cs="仿宋_GB2312"/>
          <w:color w:val="auto"/>
          <w:sz w:val="32"/>
          <w:szCs w:val="32"/>
          <w:lang w:val="en-US" w:eastAsia="zh-CN"/>
        </w:rPr>
      </w:pPr>
    </w:p>
    <w:sectPr>
      <w:headerReference r:id="rId3" w:type="default"/>
      <w:footerReference r:id="rId4" w:type="default"/>
      <w:pgSz w:w="11906" w:h="16838"/>
      <w:pgMar w:top="1871" w:right="1531" w:bottom="1871"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D7912D-A868-4EE0-A41D-70F2B6EAD64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B3E07017-0D46-4C14-9C8C-D043F53DEC92}"/>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3" w:fontKey="{CB5EDCA1-E07C-4407-9CD3-55C35B42A7A5}"/>
  </w:font>
  <w:font w:name="楷体_GB2312">
    <w:panose1 w:val="02010609030101010101"/>
    <w:charset w:val="86"/>
    <w:family w:val="auto"/>
    <w:pitch w:val="default"/>
    <w:sig w:usb0="00000001" w:usb1="080E0000" w:usb2="00000000" w:usb3="00000000" w:csb0="00040000" w:csb1="00000000"/>
    <w:embedRegular r:id="rId4" w:fontKey="{CFF145E7-E127-4EE6-B0D1-22D1C2B1FC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-334010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32"/>
                              <w:szCs w:val="48"/>
                            </w:rPr>
                          </w:pPr>
                          <w:r>
                            <w:rPr>
                              <w:rFonts w:hint="eastAsia" w:ascii="仿宋_GB2312" w:hAnsi="仿宋_GB2312" w:eastAsia="仿宋_GB2312" w:cs="仿宋_GB2312"/>
                              <w:sz w:val="32"/>
                              <w:szCs w:val="48"/>
                            </w:rPr>
                            <w:t xml:space="preserve">— </w:t>
                          </w:r>
                          <w:r>
                            <w:rPr>
                              <w:rFonts w:hint="eastAsia" w:ascii="仿宋_GB2312" w:hAnsi="仿宋_GB2312" w:eastAsia="仿宋_GB2312" w:cs="仿宋_GB2312"/>
                              <w:sz w:val="32"/>
                              <w:szCs w:val="48"/>
                            </w:rPr>
                            <w:fldChar w:fldCharType="begin"/>
                          </w:r>
                          <w:r>
                            <w:rPr>
                              <w:rFonts w:hint="eastAsia" w:ascii="仿宋_GB2312" w:hAnsi="仿宋_GB2312" w:eastAsia="仿宋_GB2312" w:cs="仿宋_GB2312"/>
                              <w:sz w:val="32"/>
                              <w:szCs w:val="48"/>
                            </w:rPr>
                            <w:instrText xml:space="preserve"> PAGE  \* MERGEFORMAT </w:instrText>
                          </w:r>
                          <w:r>
                            <w:rPr>
                              <w:rFonts w:hint="eastAsia" w:ascii="仿宋_GB2312" w:hAnsi="仿宋_GB2312" w:eastAsia="仿宋_GB2312" w:cs="仿宋_GB2312"/>
                              <w:sz w:val="32"/>
                              <w:szCs w:val="48"/>
                            </w:rPr>
                            <w:fldChar w:fldCharType="separate"/>
                          </w:r>
                          <w:r>
                            <w:rPr>
                              <w:rFonts w:hint="eastAsia" w:ascii="仿宋_GB2312" w:hAnsi="仿宋_GB2312" w:eastAsia="仿宋_GB2312" w:cs="仿宋_GB2312"/>
                              <w:sz w:val="32"/>
                              <w:szCs w:val="48"/>
                            </w:rPr>
                            <w:t>1</w:t>
                          </w:r>
                          <w:r>
                            <w:rPr>
                              <w:rFonts w:hint="eastAsia" w:ascii="仿宋_GB2312" w:hAnsi="仿宋_GB2312" w:eastAsia="仿宋_GB2312" w:cs="仿宋_GB2312"/>
                              <w:sz w:val="32"/>
                              <w:szCs w:val="48"/>
                            </w:rPr>
                            <w:fldChar w:fldCharType="end"/>
                          </w:r>
                          <w:r>
                            <w:rPr>
                              <w:rFonts w:hint="eastAsia" w:ascii="仿宋_GB2312" w:hAnsi="仿宋_GB2312" w:eastAsia="仿宋_GB2312" w:cs="仿宋_GB2312"/>
                              <w:sz w:val="32"/>
                              <w:szCs w:val="4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6.3pt;height:144pt;width:144pt;mso-position-horizontal:outside;mso-position-horizontal-relative:margin;mso-wrap-style:none;z-index:251659264;mso-width-relative:page;mso-height-relative:page;" filled="f" stroked="f" coordsize="21600,21600" o:gfxdata="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TIEUn0xUYrtPt2&#10;YLA3xRnEnOknw1u+qZF8y3x4YA6jgILxWMI9llIaJDGDRUll3Jd/ncd4dAheShqMVk41XhIl8r1G&#10;5wAYRsONxn409FHdGcwquoFaOhMXXJCjWTqjPuMFrWIOuJjmyJTTMJp3oR9vvEAuVqsu6Ghdfaj6&#10;C5g7y8JW7yyPaaJ63q6OAWJ2GkeBelUG3TB5XZeGVxJH+899F/X4Z1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0q8hXWAAAACAEAAA8AAAAAAAAAAQAgAAAAIgAAAGRycy9kb3ducmV2LnhtbFBL&#10;AQIUABQAAAAIAIdO4kBrhfn7MQIAAGEEAAAOAAAAAAAAAAEAIAAAACUBAABkcnMvZTJvRG9jLnht&#10;bFBLBQYAAAAABgAGAFkBAADIBQ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32"/>
                        <w:szCs w:val="48"/>
                      </w:rPr>
                    </w:pPr>
                    <w:r>
                      <w:rPr>
                        <w:rFonts w:hint="eastAsia" w:ascii="仿宋_GB2312" w:hAnsi="仿宋_GB2312" w:eastAsia="仿宋_GB2312" w:cs="仿宋_GB2312"/>
                        <w:sz w:val="32"/>
                        <w:szCs w:val="48"/>
                      </w:rPr>
                      <w:t xml:space="preserve">— </w:t>
                    </w:r>
                    <w:r>
                      <w:rPr>
                        <w:rFonts w:hint="eastAsia" w:ascii="仿宋_GB2312" w:hAnsi="仿宋_GB2312" w:eastAsia="仿宋_GB2312" w:cs="仿宋_GB2312"/>
                        <w:sz w:val="32"/>
                        <w:szCs w:val="48"/>
                      </w:rPr>
                      <w:fldChar w:fldCharType="begin"/>
                    </w:r>
                    <w:r>
                      <w:rPr>
                        <w:rFonts w:hint="eastAsia" w:ascii="仿宋_GB2312" w:hAnsi="仿宋_GB2312" w:eastAsia="仿宋_GB2312" w:cs="仿宋_GB2312"/>
                        <w:sz w:val="32"/>
                        <w:szCs w:val="48"/>
                      </w:rPr>
                      <w:instrText xml:space="preserve"> PAGE  \* MERGEFORMAT </w:instrText>
                    </w:r>
                    <w:r>
                      <w:rPr>
                        <w:rFonts w:hint="eastAsia" w:ascii="仿宋_GB2312" w:hAnsi="仿宋_GB2312" w:eastAsia="仿宋_GB2312" w:cs="仿宋_GB2312"/>
                        <w:sz w:val="32"/>
                        <w:szCs w:val="48"/>
                      </w:rPr>
                      <w:fldChar w:fldCharType="separate"/>
                    </w:r>
                    <w:r>
                      <w:rPr>
                        <w:rFonts w:hint="eastAsia" w:ascii="仿宋_GB2312" w:hAnsi="仿宋_GB2312" w:eastAsia="仿宋_GB2312" w:cs="仿宋_GB2312"/>
                        <w:sz w:val="32"/>
                        <w:szCs w:val="48"/>
                      </w:rPr>
                      <w:t>1</w:t>
                    </w:r>
                    <w:r>
                      <w:rPr>
                        <w:rFonts w:hint="eastAsia" w:ascii="仿宋_GB2312" w:hAnsi="仿宋_GB2312" w:eastAsia="仿宋_GB2312" w:cs="仿宋_GB2312"/>
                        <w:sz w:val="32"/>
                        <w:szCs w:val="48"/>
                      </w:rPr>
                      <w:fldChar w:fldCharType="end"/>
                    </w:r>
                    <w:r>
                      <w:rPr>
                        <w:rFonts w:hint="eastAsia" w:ascii="仿宋_GB2312" w:hAnsi="仿宋_GB2312" w:eastAsia="仿宋_GB2312" w:cs="仿宋_GB2312"/>
                        <w:sz w:val="32"/>
                        <w:szCs w:val="4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5D0721"/>
    <w:multiLevelType w:val="singleLevel"/>
    <w:tmpl w:val="8D5D072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mNWM3NWZjMTc3M2FkYWNmMWZiYmE2NWYyMDNlNjAifQ=="/>
  </w:docVars>
  <w:rsids>
    <w:rsidRoot w:val="00000000"/>
    <w:rsid w:val="0018099E"/>
    <w:rsid w:val="00331D76"/>
    <w:rsid w:val="00522102"/>
    <w:rsid w:val="00BC57CD"/>
    <w:rsid w:val="00EF16FF"/>
    <w:rsid w:val="00FE788A"/>
    <w:rsid w:val="014852B3"/>
    <w:rsid w:val="01AA3877"/>
    <w:rsid w:val="01BE7323"/>
    <w:rsid w:val="01D9415D"/>
    <w:rsid w:val="01EA0118"/>
    <w:rsid w:val="01F80A87"/>
    <w:rsid w:val="024C492F"/>
    <w:rsid w:val="02DB1087"/>
    <w:rsid w:val="033E071B"/>
    <w:rsid w:val="034F2928"/>
    <w:rsid w:val="03577A2F"/>
    <w:rsid w:val="035C6DF3"/>
    <w:rsid w:val="036B7036"/>
    <w:rsid w:val="03887BE8"/>
    <w:rsid w:val="03D41080"/>
    <w:rsid w:val="04471852"/>
    <w:rsid w:val="04881916"/>
    <w:rsid w:val="049525BD"/>
    <w:rsid w:val="049A2F96"/>
    <w:rsid w:val="05B64EE1"/>
    <w:rsid w:val="05B9677F"/>
    <w:rsid w:val="05E57574"/>
    <w:rsid w:val="0633208D"/>
    <w:rsid w:val="06652463"/>
    <w:rsid w:val="06A967F3"/>
    <w:rsid w:val="06B64A6C"/>
    <w:rsid w:val="06BF5D4E"/>
    <w:rsid w:val="070752C8"/>
    <w:rsid w:val="071E0F8F"/>
    <w:rsid w:val="073C31C4"/>
    <w:rsid w:val="08607386"/>
    <w:rsid w:val="087440FD"/>
    <w:rsid w:val="08BB3B25"/>
    <w:rsid w:val="08BE4EBF"/>
    <w:rsid w:val="08C47915"/>
    <w:rsid w:val="08D85501"/>
    <w:rsid w:val="0966277A"/>
    <w:rsid w:val="096A5FFF"/>
    <w:rsid w:val="099A2423"/>
    <w:rsid w:val="09F77876"/>
    <w:rsid w:val="0A4800D1"/>
    <w:rsid w:val="0A4F76B2"/>
    <w:rsid w:val="0ABD0ABF"/>
    <w:rsid w:val="0ACA0AE6"/>
    <w:rsid w:val="0AD81455"/>
    <w:rsid w:val="0B2C17A1"/>
    <w:rsid w:val="0B3568A8"/>
    <w:rsid w:val="0BEB51B8"/>
    <w:rsid w:val="0BF56037"/>
    <w:rsid w:val="0C1E558E"/>
    <w:rsid w:val="0C460484"/>
    <w:rsid w:val="0C506E69"/>
    <w:rsid w:val="0CB41A4E"/>
    <w:rsid w:val="0CE9794A"/>
    <w:rsid w:val="0D103128"/>
    <w:rsid w:val="0D2B7F62"/>
    <w:rsid w:val="0D8458C4"/>
    <w:rsid w:val="0DA47D03"/>
    <w:rsid w:val="0E70139A"/>
    <w:rsid w:val="0E7A385B"/>
    <w:rsid w:val="0E884F40"/>
    <w:rsid w:val="0E996E88"/>
    <w:rsid w:val="0ED63EFE"/>
    <w:rsid w:val="0EDC4358"/>
    <w:rsid w:val="0F36499C"/>
    <w:rsid w:val="0F3D21CF"/>
    <w:rsid w:val="0F5F2145"/>
    <w:rsid w:val="0F625791"/>
    <w:rsid w:val="0F7F6343"/>
    <w:rsid w:val="0FC401FA"/>
    <w:rsid w:val="0FFF1232"/>
    <w:rsid w:val="10260EB5"/>
    <w:rsid w:val="103F3D25"/>
    <w:rsid w:val="1045758D"/>
    <w:rsid w:val="10803007"/>
    <w:rsid w:val="10BC5375"/>
    <w:rsid w:val="10DB1C9F"/>
    <w:rsid w:val="11131439"/>
    <w:rsid w:val="117F262B"/>
    <w:rsid w:val="11967974"/>
    <w:rsid w:val="12040D82"/>
    <w:rsid w:val="120B3EBE"/>
    <w:rsid w:val="127E2E73"/>
    <w:rsid w:val="12B10F0A"/>
    <w:rsid w:val="131B6383"/>
    <w:rsid w:val="13223BB5"/>
    <w:rsid w:val="1367529E"/>
    <w:rsid w:val="137B32C6"/>
    <w:rsid w:val="13C46A1B"/>
    <w:rsid w:val="13C54541"/>
    <w:rsid w:val="13DF1AA7"/>
    <w:rsid w:val="13E96481"/>
    <w:rsid w:val="13F4157C"/>
    <w:rsid w:val="14237BE5"/>
    <w:rsid w:val="146F2E2A"/>
    <w:rsid w:val="15003A82"/>
    <w:rsid w:val="15080B89"/>
    <w:rsid w:val="15194B44"/>
    <w:rsid w:val="15593193"/>
    <w:rsid w:val="156758B0"/>
    <w:rsid w:val="15A24B3A"/>
    <w:rsid w:val="164266B8"/>
    <w:rsid w:val="166149F5"/>
    <w:rsid w:val="166E0EC0"/>
    <w:rsid w:val="168C1346"/>
    <w:rsid w:val="16A6065A"/>
    <w:rsid w:val="16B014D8"/>
    <w:rsid w:val="16B74615"/>
    <w:rsid w:val="173043C7"/>
    <w:rsid w:val="175956CC"/>
    <w:rsid w:val="17AC7EF2"/>
    <w:rsid w:val="17C81AF1"/>
    <w:rsid w:val="18210CF0"/>
    <w:rsid w:val="1864257A"/>
    <w:rsid w:val="187E29FE"/>
    <w:rsid w:val="18BF3C55"/>
    <w:rsid w:val="19053D5D"/>
    <w:rsid w:val="19235F91"/>
    <w:rsid w:val="192B12EA"/>
    <w:rsid w:val="19B25567"/>
    <w:rsid w:val="19D35C0A"/>
    <w:rsid w:val="19EC2827"/>
    <w:rsid w:val="19EC6401"/>
    <w:rsid w:val="1A525767"/>
    <w:rsid w:val="1A5F124B"/>
    <w:rsid w:val="1ABD41C4"/>
    <w:rsid w:val="1B0B4F2F"/>
    <w:rsid w:val="1B1F4E7E"/>
    <w:rsid w:val="1B4D5548"/>
    <w:rsid w:val="1B6B1E72"/>
    <w:rsid w:val="1BA3160C"/>
    <w:rsid w:val="1BBE1FA1"/>
    <w:rsid w:val="1C444B9D"/>
    <w:rsid w:val="1C5648D0"/>
    <w:rsid w:val="1C980A44"/>
    <w:rsid w:val="1CA13D9D"/>
    <w:rsid w:val="1D37025D"/>
    <w:rsid w:val="1D5C7CC4"/>
    <w:rsid w:val="1D81597C"/>
    <w:rsid w:val="1DA12787"/>
    <w:rsid w:val="1DC37D43"/>
    <w:rsid w:val="1DEA1774"/>
    <w:rsid w:val="1E2E78B2"/>
    <w:rsid w:val="1E334EC9"/>
    <w:rsid w:val="1F550E6F"/>
    <w:rsid w:val="1F66307C"/>
    <w:rsid w:val="1F6B2440"/>
    <w:rsid w:val="1F8D685B"/>
    <w:rsid w:val="1FA45952"/>
    <w:rsid w:val="1FD55B0C"/>
    <w:rsid w:val="1FE83A91"/>
    <w:rsid w:val="2000702C"/>
    <w:rsid w:val="20032679"/>
    <w:rsid w:val="20315438"/>
    <w:rsid w:val="20511FC5"/>
    <w:rsid w:val="20517888"/>
    <w:rsid w:val="206907B2"/>
    <w:rsid w:val="208C266E"/>
    <w:rsid w:val="209354CA"/>
    <w:rsid w:val="21112704"/>
    <w:rsid w:val="21570ECE"/>
    <w:rsid w:val="217001E2"/>
    <w:rsid w:val="21DE339D"/>
    <w:rsid w:val="21DE514B"/>
    <w:rsid w:val="21F7620D"/>
    <w:rsid w:val="2221328A"/>
    <w:rsid w:val="222B4109"/>
    <w:rsid w:val="22325497"/>
    <w:rsid w:val="22431452"/>
    <w:rsid w:val="22477195"/>
    <w:rsid w:val="225673D8"/>
    <w:rsid w:val="22794E74"/>
    <w:rsid w:val="22A77C33"/>
    <w:rsid w:val="22C32593"/>
    <w:rsid w:val="22C72083"/>
    <w:rsid w:val="22F15352"/>
    <w:rsid w:val="231150AD"/>
    <w:rsid w:val="236723EA"/>
    <w:rsid w:val="23841D23"/>
    <w:rsid w:val="23A221A9"/>
    <w:rsid w:val="23C16AD3"/>
    <w:rsid w:val="245416F5"/>
    <w:rsid w:val="2480073C"/>
    <w:rsid w:val="248C70E1"/>
    <w:rsid w:val="24E707BB"/>
    <w:rsid w:val="2536704D"/>
    <w:rsid w:val="25890B8B"/>
    <w:rsid w:val="25950217"/>
    <w:rsid w:val="25983863"/>
    <w:rsid w:val="25B05051"/>
    <w:rsid w:val="26176E7E"/>
    <w:rsid w:val="2652435A"/>
    <w:rsid w:val="265F25D3"/>
    <w:rsid w:val="26DF2E4F"/>
    <w:rsid w:val="27005B64"/>
    <w:rsid w:val="27035D1A"/>
    <w:rsid w:val="275E288B"/>
    <w:rsid w:val="276C6F54"/>
    <w:rsid w:val="27B84056"/>
    <w:rsid w:val="28137B19"/>
    <w:rsid w:val="287E31E4"/>
    <w:rsid w:val="2900009D"/>
    <w:rsid w:val="29E45E65"/>
    <w:rsid w:val="29F37C02"/>
    <w:rsid w:val="29F85218"/>
    <w:rsid w:val="29FD45DD"/>
    <w:rsid w:val="2A475858"/>
    <w:rsid w:val="2B2D0EF2"/>
    <w:rsid w:val="2B5C5333"/>
    <w:rsid w:val="2BB46F1D"/>
    <w:rsid w:val="2BDB094E"/>
    <w:rsid w:val="2BE713BB"/>
    <w:rsid w:val="2BF0173C"/>
    <w:rsid w:val="2C1874AC"/>
    <w:rsid w:val="2C35005E"/>
    <w:rsid w:val="2CCE2260"/>
    <w:rsid w:val="2CF1292C"/>
    <w:rsid w:val="2D265BF9"/>
    <w:rsid w:val="2D7921CC"/>
    <w:rsid w:val="2DE24215"/>
    <w:rsid w:val="2E112405"/>
    <w:rsid w:val="2E4B1DBB"/>
    <w:rsid w:val="2E4C5B33"/>
    <w:rsid w:val="2E56250D"/>
    <w:rsid w:val="2E876B6B"/>
    <w:rsid w:val="2EAD65D1"/>
    <w:rsid w:val="2EBD433B"/>
    <w:rsid w:val="2ED26038"/>
    <w:rsid w:val="2F0D52C2"/>
    <w:rsid w:val="2FB43990"/>
    <w:rsid w:val="2FF07B91"/>
    <w:rsid w:val="3014442E"/>
    <w:rsid w:val="30234671"/>
    <w:rsid w:val="307F3F9D"/>
    <w:rsid w:val="30890978"/>
    <w:rsid w:val="30894E1C"/>
    <w:rsid w:val="31321010"/>
    <w:rsid w:val="318A0E4C"/>
    <w:rsid w:val="318B0720"/>
    <w:rsid w:val="319E0453"/>
    <w:rsid w:val="31CD6F8B"/>
    <w:rsid w:val="31D9148B"/>
    <w:rsid w:val="32537490"/>
    <w:rsid w:val="32794A1C"/>
    <w:rsid w:val="32BA750F"/>
    <w:rsid w:val="32C4038E"/>
    <w:rsid w:val="32E60304"/>
    <w:rsid w:val="33995376"/>
    <w:rsid w:val="33C1667B"/>
    <w:rsid w:val="33C65A3F"/>
    <w:rsid w:val="34055216"/>
    <w:rsid w:val="340F5638"/>
    <w:rsid w:val="344D6161"/>
    <w:rsid w:val="347E631A"/>
    <w:rsid w:val="3522139B"/>
    <w:rsid w:val="356E2833"/>
    <w:rsid w:val="35F72828"/>
    <w:rsid w:val="369B31B3"/>
    <w:rsid w:val="374F7AC7"/>
    <w:rsid w:val="377C6AE8"/>
    <w:rsid w:val="38284F1B"/>
    <w:rsid w:val="38286CC9"/>
    <w:rsid w:val="38431D54"/>
    <w:rsid w:val="38547ABE"/>
    <w:rsid w:val="388A34DF"/>
    <w:rsid w:val="388F4F9A"/>
    <w:rsid w:val="38B62526"/>
    <w:rsid w:val="392C27E9"/>
    <w:rsid w:val="3A1E65D5"/>
    <w:rsid w:val="3A3A0F35"/>
    <w:rsid w:val="3A775CE5"/>
    <w:rsid w:val="3AA7481D"/>
    <w:rsid w:val="3ACA4067"/>
    <w:rsid w:val="3B0A4DAB"/>
    <w:rsid w:val="3B2F65C0"/>
    <w:rsid w:val="3B31058A"/>
    <w:rsid w:val="3B506C62"/>
    <w:rsid w:val="3B554279"/>
    <w:rsid w:val="3B5B73B5"/>
    <w:rsid w:val="3B6E0E96"/>
    <w:rsid w:val="3B9528C7"/>
    <w:rsid w:val="3BE178BA"/>
    <w:rsid w:val="3C591B47"/>
    <w:rsid w:val="3C833CA0"/>
    <w:rsid w:val="3C861D17"/>
    <w:rsid w:val="3CF144B5"/>
    <w:rsid w:val="3CF63839"/>
    <w:rsid w:val="3D1E4B3E"/>
    <w:rsid w:val="3D785251"/>
    <w:rsid w:val="3DAC3EF8"/>
    <w:rsid w:val="3DB17760"/>
    <w:rsid w:val="3DD5344F"/>
    <w:rsid w:val="3DE80316"/>
    <w:rsid w:val="3E522CF1"/>
    <w:rsid w:val="3E595E2E"/>
    <w:rsid w:val="3EE940A2"/>
    <w:rsid w:val="3F6A406B"/>
    <w:rsid w:val="3FA550A3"/>
    <w:rsid w:val="3FD339BE"/>
    <w:rsid w:val="3FEE6527"/>
    <w:rsid w:val="40642868"/>
    <w:rsid w:val="406B1E48"/>
    <w:rsid w:val="40776A3F"/>
    <w:rsid w:val="40EB2F89"/>
    <w:rsid w:val="41214BFD"/>
    <w:rsid w:val="41801923"/>
    <w:rsid w:val="41872CB2"/>
    <w:rsid w:val="41C17B42"/>
    <w:rsid w:val="41CA5E73"/>
    <w:rsid w:val="41D103D1"/>
    <w:rsid w:val="41F36599"/>
    <w:rsid w:val="420A743F"/>
    <w:rsid w:val="4258464E"/>
    <w:rsid w:val="432B3B11"/>
    <w:rsid w:val="438374A9"/>
    <w:rsid w:val="438576C5"/>
    <w:rsid w:val="43A86F10"/>
    <w:rsid w:val="43E75C8A"/>
    <w:rsid w:val="441C38D8"/>
    <w:rsid w:val="44202F4A"/>
    <w:rsid w:val="44466E54"/>
    <w:rsid w:val="445A2900"/>
    <w:rsid w:val="445F7108"/>
    <w:rsid w:val="44857F36"/>
    <w:rsid w:val="44B00772"/>
    <w:rsid w:val="44C935E1"/>
    <w:rsid w:val="451A3E3D"/>
    <w:rsid w:val="45392515"/>
    <w:rsid w:val="453C0257"/>
    <w:rsid w:val="457C68A6"/>
    <w:rsid w:val="45877724"/>
    <w:rsid w:val="45A610AB"/>
    <w:rsid w:val="45FB77CB"/>
    <w:rsid w:val="460C32A1"/>
    <w:rsid w:val="468A6DA0"/>
    <w:rsid w:val="46AC6D17"/>
    <w:rsid w:val="46CD560B"/>
    <w:rsid w:val="46F10BCE"/>
    <w:rsid w:val="4723522B"/>
    <w:rsid w:val="475E6263"/>
    <w:rsid w:val="47631ACB"/>
    <w:rsid w:val="476364D9"/>
    <w:rsid w:val="47836886"/>
    <w:rsid w:val="47887784"/>
    <w:rsid w:val="478C5146"/>
    <w:rsid w:val="4800731A"/>
    <w:rsid w:val="48082673"/>
    <w:rsid w:val="48272AF9"/>
    <w:rsid w:val="483416BA"/>
    <w:rsid w:val="48427933"/>
    <w:rsid w:val="48825F81"/>
    <w:rsid w:val="489D35C4"/>
    <w:rsid w:val="48B40105"/>
    <w:rsid w:val="48CD6FC5"/>
    <w:rsid w:val="48FB5D34"/>
    <w:rsid w:val="493C25D4"/>
    <w:rsid w:val="4989333F"/>
    <w:rsid w:val="49995C78"/>
    <w:rsid w:val="4A174436"/>
    <w:rsid w:val="4A4200BE"/>
    <w:rsid w:val="4A510301"/>
    <w:rsid w:val="4A534079"/>
    <w:rsid w:val="4A783AE0"/>
    <w:rsid w:val="4A963F66"/>
    <w:rsid w:val="4B215F25"/>
    <w:rsid w:val="4B257098"/>
    <w:rsid w:val="4B272E10"/>
    <w:rsid w:val="4B530740"/>
    <w:rsid w:val="4BB548C0"/>
    <w:rsid w:val="4BCB40E3"/>
    <w:rsid w:val="4BDC1E4C"/>
    <w:rsid w:val="4C303F46"/>
    <w:rsid w:val="4C5639AD"/>
    <w:rsid w:val="4C59524B"/>
    <w:rsid w:val="4CD46FC7"/>
    <w:rsid w:val="4D331DCC"/>
    <w:rsid w:val="4D5679DC"/>
    <w:rsid w:val="4D896004"/>
    <w:rsid w:val="4D9329DF"/>
    <w:rsid w:val="4D97427D"/>
    <w:rsid w:val="4DD21759"/>
    <w:rsid w:val="4DF47047"/>
    <w:rsid w:val="4E102281"/>
    <w:rsid w:val="4E924F42"/>
    <w:rsid w:val="4EAD5D22"/>
    <w:rsid w:val="4EB3158A"/>
    <w:rsid w:val="4EE471C1"/>
    <w:rsid w:val="4F674123"/>
    <w:rsid w:val="4FA62E9D"/>
    <w:rsid w:val="4FE85264"/>
    <w:rsid w:val="504F7091"/>
    <w:rsid w:val="50551558"/>
    <w:rsid w:val="506D39BB"/>
    <w:rsid w:val="507537AB"/>
    <w:rsid w:val="50B138A7"/>
    <w:rsid w:val="50CD4459"/>
    <w:rsid w:val="50DE6667"/>
    <w:rsid w:val="511B51C5"/>
    <w:rsid w:val="51312C3A"/>
    <w:rsid w:val="517B2107"/>
    <w:rsid w:val="51EB4B97"/>
    <w:rsid w:val="523302EC"/>
    <w:rsid w:val="52B00561"/>
    <w:rsid w:val="52EC185C"/>
    <w:rsid w:val="5311062D"/>
    <w:rsid w:val="532C36B9"/>
    <w:rsid w:val="53560736"/>
    <w:rsid w:val="537961D3"/>
    <w:rsid w:val="53B316E5"/>
    <w:rsid w:val="53BD2917"/>
    <w:rsid w:val="54187453"/>
    <w:rsid w:val="542B798A"/>
    <w:rsid w:val="54F40207"/>
    <w:rsid w:val="553D46AE"/>
    <w:rsid w:val="557D01FC"/>
    <w:rsid w:val="55EB160A"/>
    <w:rsid w:val="56430BF0"/>
    <w:rsid w:val="56C02A96"/>
    <w:rsid w:val="56E02076"/>
    <w:rsid w:val="56E12A0D"/>
    <w:rsid w:val="570B7A8A"/>
    <w:rsid w:val="571B7CCD"/>
    <w:rsid w:val="57825F9E"/>
    <w:rsid w:val="578C0DF0"/>
    <w:rsid w:val="57A71560"/>
    <w:rsid w:val="57DF519E"/>
    <w:rsid w:val="583849FF"/>
    <w:rsid w:val="58492617"/>
    <w:rsid w:val="584E40D2"/>
    <w:rsid w:val="58B54151"/>
    <w:rsid w:val="58BC103B"/>
    <w:rsid w:val="58BE3005"/>
    <w:rsid w:val="58FE1654"/>
    <w:rsid w:val="591D6844"/>
    <w:rsid w:val="59237346"/>
    <w:rsid w:val="596237C3"/>
    <w:rsid w:val="59914276"/>
    <w:rsid w:val="59965D30"/>
    <w:rsid w:val="59B12B6A"/>
    <w:rsid w:val="59B61F2F"/>
    <w:rsid w:val="5A0A227A"/>
    <w:rsid w:val="5A2A6479"/>
    <w:rsid w:val="5A557999"/>
    <w:rsid w:val="5A5D05FC"/>
    <w:rsid w:val="5A7122F9"/>
    <w:rsid w:val="5AC60BF9"/>
    <w:rsid w:val="5AFF11B3"/>
    <w:rsid w:val="5B922527"/>
    <w:rsid w:val="5BA65FD3"/>
    <w:rsid w:val="5BB10BFF"/>
    <w:rsid w:val="5BB66216"/>
    <w:rsid w:val="5C2869E8"/>
    <w:rsid w:val="5C4F794F"/>
    <w:rsid w:val="5C6E089F"/>
    <w:rsid w:val="5C806824"/>
    <w:rsid w:val="5C8A1451"/>
    <w:rsid w:val="5CE943C9"/>
    <w:rsid w:val="5CF54B1C"/>
    <w:rsid w:val="5D170F36"/>
    <w:rsid w:val="5D172CE4"/>
    <w:rsid w:val="5D213B63"/>
    <w:rsid w:val="5D320E83"/>
    <w:rsid w:val="5D572F2A"/>
    <w:rsid w:val="5DD92690"/>
    <w:rsid w:val="5DFC1EDA"/>
    <w:rsid w:val="5E070FAB"/>
    <w:rsid w:val="5E671A49"/>
    <w:rsid w:val="5E8425FB"/>
    <w:rsid w:val="5EC24ED2"/>
    <w:rsid w:val="5F1D035A"/>
    <w:rsid w:val="5F1F0576"/>
    <w:rsid w:val="5F217E4A"/>
    <w:rsid w:val="5F2711D9"/>
    <w:rsid w:val="5F4104EC"/>
    <w:rsid w:val="5F49114F"/>
    <w:rsid w:val="5F745612"/>
    <w:rsid w:val="5F990328"/>
    <w:rsid w:val="5FE333DF"/>
    <w:rsid w:val="602776E2"/>
    <w:rsid w:val="60363DC9"/>
    <w:rsid w:val="60432042"/>
    <w:rsid w:val="606D70BF"/>
    <w:rsid w:val="60AF592A"/>
    <w:rsid w:val="60EC4488"/>
    <w:rsid w:val="60F670B5"/>
    <w:rsid w:val="61EC5132"/>
    <w:rsid w:val="6200643D"/>
    <w:rsid w:val="62126170"/>
    <w:rsid w:val="623426DB"/>
    <w:rsid w:val="62683FE2"/>
    <w:rsid w:val="627E7362"/>
    <w:rsid w:val="62996CEF"/>
    <w:rsid w:val="629E7A04"/>
    <w:rsid w:val="62B31701"/>
    <w:rsid w:val="62C03E1E"/>
    <w:rsid w:val="62C76F5B"/>
    <w:rsid w:val="63071A4D"/>
    <w:rsid w:val="634E17EF"/>
    <w:rsid w:val="63624ED5"/>
    <w:rsid w:val="637B686F"/>
    <w:rsid w:val="63864720"/>
    <w:rsid w:val="638F4223"/>
    <w:rsid w:val="63E8362C"/>
    <w:rsid w:val="64045A64"/>
    <w:rsid w:val="64151F48"/>
    <w:rsid w:val="642E6B65"/>
    <w:rsid w:val="64A5151D"/>
    <w:rsid w:val="64A82DBC"/>
    <w:rsid w:val="64BD6867"/>
    <w:rsid w:val="650049A6"/>
    <w:rsid w:val="6578278E"/>
    <w:rsid w:val="65CD784A"/>
    <w:rsid w:val="66066E9E"/>
    <w:rsid w:val="661B7AA5"/>
    <w:rsid w:val="66A51361"/>
    <w:rsid w:val="67446E92"/>
    <w:rsid w:val="674C5C80"/>
    <w:rsid w:val="67C021CA"/>
    <w:rsid w:val="67C577E1"/>
    <w:rsid w:val="67D363A2"/>
    <w:rsid w:val="67D55C76"/>
    <w:rsid w:val="67E91721"/>
    <w:rsid w:val="68612BBE"/>
    <w:rsid w:val="68C161FA"/>
    <w:rsid w:val="68C857DA"/>
    <w:rsid w:val="68E02061"/>
    <w:rsid w:val="68EF2D67"/>
    <w:rsid w:val="68F14D31"/>
    <w:rsid w:val="692F585A"/>
    <w:rsid w:val="693115D2"/>
    <w:rsid w:val="696F20FA"/>
    <w:rsid w:val="699D0A15"/>
    <w:rsid w:val="69C04704"/>
    <w:rsid w:val="6A3A6264"/>
    <w:rsid w:val="6A97765F"/>
    <w:rsid w:val="6AEB755E"/>
    <w:rsid w:val="6B225676"/>
    <w:rsid w:val="6B590FA5"/>
    <w:rsid w:val="6B811C71"/>
    <w:rsid w:val="6BA3608B"/>
    <w:rsid w:val="6BD83DBA"/>
    <w:rsid w:val="6BE7241B"/>
    <w:rsid w:val="6BEC5C84"/>
    <w:rsid w:val="6BF05E52"/>
    <w:rsid w:val="6C4C04D0"/>
    <w:rsid w:val="6CB71DEE"/>
    <w:rsid w:val="6CEA21C3"/>
    <w:rsid w:val="6D286848"/>
    <w:rsid w:val="6D68758C"/>
    <w:rsid w:val="6DA22A9E"/>
    <w:rsid w:val="6DC9627D"/>
    <w:rsid w:val="6E250FD9"/>
    <w:rsid w:val="6E445903"/>
    <w:rsid w:val="6EA477FD"/>
    <w:rsid w:val="6ED8429D"/>
    <w:rsid w:val="6F196D90"/>
    <w:rsid w:val="6F593630"/>
    <w:rsid w:val="6F6B7331"/>
    <w:rsid w:val="6F726B79"/>
    <w:rsid w:val="6F743FC6"/>
    <w:rsid w:val="6F9F225C"/>
    <w:rsid w:val="70741DA4"/>
    <w:rsid w:val="709C1A26"/>
    <w:rsid w:val="70AE175A"/>
    <w:rsid w:val="70C60851"/>
    <w:rsid w:val="70DF1913"/>
    <w:rsid w:val="713559D7"/>
    <w:rsid w:val="71357785"/>
    <w:rsid w:val="713C29B5"/>
    <w:rsid w:val="725B321B"/>
    <w:rsid w:val="72CD12CE"/>
    <w:rsid w:val="72D1172F"/>
    <w:rsid w:val="72DD5DFE"/>
    <w:rsid w:val="734F0FD2"/>
    <w:rsid w:val="735167E1"/>
    <w:rsid w:val="739A5FC5"/>
    <w:rsid w:val="73AE215D"/>
    <w:rsid w:val="73E15E53"/>
    <w:rsid w:val="73E21E46"/>
    <w:rsid w:val="73F97190"/>
    <w:rsid w:val="74505F2A"/>
    <w:rsid w:val="748527D2"/>
    <w:rsid w:val="74AC32AE"/>
    <w:rsid w:val="74CB28DA"/>
    <w:rsid w:val="74E27C24"/>
    <w:rsid w:val="75071439"/>
    <w:rsid w:val="751A5610"/>
    <w:rsid w:val="752124FA"/>
    <w:rsid w:val="75241FEA"/>
    <w:rsid w:val="753D30AC"/>
    <w:rsid w:val="755328D0"/>
    <w:rsid w:val="757271FA"/>
    <w:rsid w:val="75B25848"/>
    <w:rsid w:val="75CE1F56"/>
    <w:rsid w:val="75EB2B08"/>
    <w:rsid w:val="76393282"/>
    <w:rsid w:val="765B7C8E"/>
    <w:rsid w:val="76944F4E"/>
    <w:rsid w:val="76C4305C"/>
    <w:rsid w:val="76F36118"/>
    <w:rsid w:val="76F93003"/>
    <w:rsid w:val="770C0F88"/>
    <w:rsid w:val="772A1198"/>
    <w:rsid w:val="775A7F45"/>
    <w:rsid w:val="778B6351"/>
    <w:rsid w:val="77AB07A1"/>
    <w:rsid w:val="77F20932"/>
    <w:rsid w:val="77FE4D75"/>
    <w:rsid w:val="78322C70"/>
    <w:rsid w:val="78650950"/>
    <w:rsid w:val="78BE62B2"/>
    <w:rsid w:val="78DE6954"/>
    <w:rsid w:val="78E73A5B"/>
    <w:rsid w:val="792425B9"/>
    <w:rsid w:val="794964C4"/>
    <w:rsid w:val="79F71A7C"/>
    <w:rsid w:val="79FF6B82"/>
    <w:rsid w:val="7A0E5017"/>
    <w:rsid w:val="7A122D59"/>
    <w:rsid w:val="7A9C77BD"/>
    <w:rsid w:val="7AFE32DE"/>
    <w:rsid w:val="7B095F0A"/>
    <w:rsid w:val="7B5B0730"/>
    <w:rsid w:val="7BEE3352"/>
    <w:rsid w:val="7BFA1CF7"/>
    <w:rsid w:val="7CF44998"/>
    <w:rsid w:val="7D032E2D"/>
    <w:rsid w:val="7D0A41BC"/>
    <w:rsid w:val="7D553689"/>
    <w:rsid w:val="7D7C39D0"/>
    <w:rsid w:val="7D7D498E"/>
    <w:rsid w:val="7E372D8F"/>
    <w:rsid w:val="7EB42631"/>
    <w:rsid w:val="7EC00FD6"/>
    <w:rsid w:val="7F1E5CFC"/>
    <w:rsid w:val="7F2D5F40"/>
    <w:rsid w:val="7F587460"/>
    <w:rsid w:val="7F772DAA"/>
    <w:rsid w:val="7F8244DD"/>
    <w:rsid w:val="7FA50ABA"/>
    <w:rsid w:val="7FC136F1"/>
    <w:rsid w:val="7FDD7966"/>
    <w:rsid w:val="7FE9455C"/>
    <w:rsid w:val="7FEB5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spacing w:before="240" w:after="60"/>
      <w:jc w:val="center"/>
      <w:outlineLvl w:val="0"/>
    </w:pPr>
    <w:rPr>
      <w:rFonts w:ascii="Cambria" w:hAnsi="Cambria"/>
      <w:b/>
      <w:bCs/>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3705</Words>
  <Characters>3764</Characters>
  <Lines>0</Lines>
  <Paragraphs>0</Paragraphs>
  <TotalTime>6</TotalTime>
  <ScaleCrop>false</ScaleCrop>
  <LinksUpToDate>false</LinksUpToDate>
  <CharactersWithSpaces>3773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2023-03-23T09:04:00Z</dcterms:created>
  <dc:creator>Administrator</dc:creator>
  <cp:lastModifiedBy>跑</cp:lastModifiedBy>
  <cp:lastPrinted>2023-05-19T09:28:00Z</cp:lastPrinted>
  <dcterms:modified xsi:type="dcterms:W3CDTF">2023-05-19T10:47:18Z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4647B1E9FEF34D43B4671B1E12AF187C_13</vt:lpwstr>
  </property>
</Properties>
</file>