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4C9A20">
      <w:pPr>
        <w:spacing w:line="580" w:lineRule="exact"/>
        <w:jc w:val="center"/>
        <w:rPr>
          <w:rFonts w:eastAsia="方正小标宋简体"/>
          <w:sz w:val="44"/>
          <w:szCs w:val="44"/>
        </w:rPr>
      </w:pPr>
    </w:p>
    <w:p w14:paraId="3C1763B8">
      <w:pPr>
        <w:spacing w:line="580" w:lineRule="exact"/>
        <w:jc w:val="center"/>
        <w:rPr>
          <w:rFonts w:eastAsia="方正小标宋简体"/>
          <w:sz w:val="44"/>
          <w:szCs w:val="44"/>
        </w:rPr>
      </w:pPr>
      <w:r>
        <w:rPr>
          <w:rFonts w:eastAsia="方正小标宋简体"/>
          <w:sz w:val="44"/>
          <w:szCs w:val="44"/>
        </w:rPr>
        <w:t>芜湖市政府行政决策研究课题研究指南</w:t>
      </w:r>
    </w:p>
    <w:p w14:paraId="147B97D0">
      <w:pPr>
        <w:widowControl/>
        <w:spacing w:line="580" w:lineRule="exact"/>
        <w:jc w:val="center"/>
        <w:rPr>
          <w:rFonts w:hint="eastAsia" w:ascii="楷体_GB2312" w:eastAsia="楷体_GB2312"/>
          <w:szCs w:val="32"/>
        </w:rPr>
      </w:pPr>
      <w:r>
        <w:rPr>
          <w:rFonts w:hint="eastAsia" w:ascii="楷体_GB2312" w:eastAsia="楷体_GB2312"/>
          <w:szCs w:val="32"/>
        </w:rPr>
        <w:t>（</w:t>
      </w:r>
      <w:r>
        <w:rPr>
          <w:rFonts w:hint="eastAsia" w:ascii="楷体_GB2312" w:eastAsia="楷体_GB2312"/>
          <w:szCs w:val="32"/>
          <w:lang w:val="en-US" w:eastAsia="zh-CN"/>
        </w:rPr>
        <w:t>2025</w:t>
      </w:r>
      <w:r>
        <w:rPr>
          <w:rFonts w:hint="eastAsia" w:ascii="楷体_GB2312" w:eastAsia="楷体_GB2312"/>
          <w:szCs w:val="32"/>
        </w:rPr>
        <w:t>年度）第</w:t>
      </w:r>
      <w:r>
        <w:rPr>
          <w:rFonts w:hint="eastAsia" w:ascii="楷体_GB2312" w:eastAsia="楷体_GB2312"/>
          <w:szCs w:val="32"/>
          <w:lang w:val="en-US" w:eastAsia="zh-CN"/>
        </w:rPr>
        <w:t>二</w:t>
      </w:r>
      <w:r>
        <w:rPr>
          <w:rFonts w:hint="eastAsia" w:ascii="楷体_GB2312" w:eastAsia="楷体_GB2312"/>
          <w:szCs w:val="32"/>
        </w:rPr>
        <w:t>批</w:t>
      </w:r>
    </w:p>
    <w:p w14:paraId="2216EAAF">
      <w:pPr>
        <w:widowControl/>
        <w:spacing w:line="580" w:lineRule="exact"/>
        <w:jc w:val="center"/>
        <w:rPr>
          <w:rFonts w:hint="eastAsia" w:ascii="楷体_GB2312" w:eastAsia="楷体_GB2312"/>
          <w:szCs w:val="32"/>
        </w:rPr>
      </w:pPr>
    </w:p>
    <w:p w14:paraId="0B9A3883">
      <w:pPr>
        <w:numPr>
          <w:ilvl w:val="0"/>
          <w:numId w:val="1"/>
        </w:numPr>
        <w:spacing w:line="580" w:lineRule="exact"/>
        <w:ind w:firstLine="632" w:firstLineChars="200"/>
        <w:rPr>
          <w:rFonts w:hint="eastAsia" w:ascii="黑体" w:hAnsi="黑体" w:eastAsia="黑体"/>
          <w:szCs w:val="32"/>
        </w:rPr>
      </w:pPr>
      <w:r>
        <w:rPr>
          <w:rFonts w:hint="eastAsia" w:ascii="黑体" w:hAnsi="黑体" w:eastAsia="黑体"/>
          <w:szCs w:val="32"/>
        </w:rPr>
        <w:t>新质生产力与芜湖制造业深度融合的机制与对策研究</w:t>
      </w:r>
    </w:p>
    <w:p w14:paraId="038C204C">
      <w:pPr>
        <w:spacing w:line="580" w:lineRule="exact"/>
        <w:ind w:firstLine="632" w:firstLineChars="200"/>
        <w:rPr>
          <w:rFonts w:hint="eastAsia" w:ascii="仿宋_GB2312" w:hAnsi="黑体"/>
          <w:szCs w:val="32"/>
        </w:rPr>
      </w:pPr>
      <w:r>
        <w:rPr>
          <w:rFonts w:hint="eastAsia" w:ascii="仿宋_GB2312" w:hAnsi="黑体"/>
          <w:szCs w:val="32"/>
        </w:rPr>
        <w:t>党的二十届三中全会提出，健全因地制宜发展新质生产力体制机制，核心要素是科技创新，关键载体是制造业，发展中需要推动二者深度融合与优化配置。2024年12月18日《芜湖市关于发展新质生产力率先突破行动方案（2024—2027 年）》正式印发，提出以科技创新为主导，实施科创能力、优势产业、绿色转型、深化改革、要素优化五大率先突破行动，大幅提升全要素生产率，加快形成高科技、高效能、高质量的先进生产力质态。</w:t>
      </w:r>
      <w:r>
        <w:rPr>
          <w:rFonts w:hint="eastAsia" w:ascii="仿宋_GB2312" w:hAnsi="黑体"/>
          <w:szCs w:val="32"/>
          <w:lang w:eastAsia="zh-CN"/>
        </w:rPr>
        <w:t>芜湖以制造立市，如何在此基础上推进新质生产力发展，需要更深层次、系统性的研究。</w:t>
      </w:r>
      <w:r>
        <w:rPr>
          <w:rFonts w:hint="eastAsia" w:ascii="仿宋_GB2312" w:hAnsi="黑体"/>
          <w:szCs w:val="32"/>
        </w:rPr>
        <w:t>本课题要求借鉴先发地区经验，以新质生产力与芜湖制造业深度融合机制研究为突破口，围绕提高制造业科技创新支撑力、推动制造业生态化转型、加速制造业数字化网络化智能化升级等，提出具有指导性、针对性的优化思路和可操作性的路径对策。</w:t>
      </w:r>
    </w:p>
    <w:p w14:paraId="69FCF954">
      <w:pPr>
        <w:numPr>
          <w:ilvl w:val="0"/>
          <w:numId w:val="1"/>
        </w:numPr>
        <w:spacing w:line="580" w:lineRule="exact"/>
        <w:ind w:left="0" w:leftChars="0" w:firstLine="632" w:firstLineChars="200"/>
        <w:rPr>
          <w:rFonts w:hint="eastAsia" w:ascii="楷体_GB2312" w:hAnsi="楷体_GB2312" w:eastAsia="楷体_GB2312" w:cs="楷体_GB2312"/>
          <w:szCs w:val="32"/>
        </w:rPr>
      </w:pPr>
      <w:r>
        <w:rPr>
          <w:rFonts w:hint="eastAsia" w:ascii="黑体" w:hAnsi="黑体" w:eastAsia="黑体"/>
          <w:szCs w:val="32"/>
        </w:rPr>
        <w:t>呼应科大硅谷，加快鸠兹科创湾建设，健全科技招商新模式的对策研究</w:t>
      </w:r>
    </w:p>
    <w:p w14:paraId="2961AE08">
      <w:pPr>
        <w:spacing w:line="580" w:lineRule="exact"/>
        <w:ind w:firstLine="632" w:firstLineChars="200"/>
        <w:rPr>
          <w:rFonts w:hint="eastAsia" w:ascii="楷体_GB2312" w:hAnsi="楷体_GB2312" w:eastAsia="楷体_GB2312" w:cs="楷体_GB2312"/>
          <w:szCs w:val="32"/>
        </w:rPr>
      </w:pPr>
      <w:r>
        <w:rPr>
          <w:rFonts w:hint="eastAsia" w:ascii="仿宋_GB2312" w:hAnsi="黑体"/>
          <w:szCs w:val="32"/>
        </w:rPr>
        <w:t>在科技创新引领经济发展的时代背景下，安徽省积极布局区域创新高地，科大硅谷的建设成果显著，成为科技创新与产业融合的成功范例。芜湖市作为安徽重要的经济和产业城市，提出打造鸠兹科创湾，旨在呼应科大硅谷，进一步推动</w:t>
      </w:r>
      <w:r>
        <w:rPr>
          <w:rFonts w:hint="eastAsia" w:ascii="仿宋_GB2312" w:hAnsi="黑体"/>
          <w:szCs w:val="32"/>
          <w:lang w:eastAsia="zh-CN"/>
        </w:rPr>
        <w:t>安徽沿江经济带</w:t>
      </w:r>
      <w:r>
        <w:rPr>
          <w:rFonts w:hint="eastAsia" w:ascii="仿宋_GB2312" w:hAnsi="黑体"/>
          <w:szCs w:val="32"/>
        </w:rPr>
        <w:t>区域创新发展，健全科技招商新模式，近年来，芜湖市在科技创新方面持续发力，以鸠兹科创湾建设为总抓手，高规格建设了如凤鸣研创中心、梦溪科创走廊等多个创新园区，总面积超500万平方米，部分园区已投入运营，入驻企业230余家。这些园区产业定位明确，涵盖新能源与智能网联汽车、机器人与工业互联网、通用航空（低空经济）、数字创意等战略性新兴产业，且配套设施完善，营造了良好的创新生态。然而，与科大硅谷相比，鸠兹科创湾在建设和科技招商过程中仍面临一些挑战。本课题旨在深入剖析鸠兹科创湾建设现状，借鉴科大硅谷等先进地区的成功经验，研究如何健全科技招商新模式，</w:t>
      </w:r>
      <w:r>
        <w:rPr>
          <w:rFonts w:hint="eastAsia" w:ascii="仿宋_GB2312" w:hAnsi="黑体"/>
          <w:szCs w:val="32"/>
          <w:lang w:eastAsia="zh-CN"/>
        </w:rPr>
        <w:t>加快</w:t>
      </w:r>
      <w:r>
        <w:rPr>
          <w:rFonts w:hint="eastAsia" w:ascii="仿宋_GB2312" w:hAnsi="黑体"/>
          <w:szCs w:val="32"/>
        </w:rPr>
        <w:t>科技成果转化与产业升级</w:t>
      </w:r>
      <w:r>
        <w:rPr>
          <w:rFonts w:hint="eastAsia" w:ascii="仿宋_GB2312" w:hAnsi="黑体"/>
          <w:szCs w:val="32"/>
          <w:lang w:eastAsia="zh-CN"/>
        </w:rPr>
        <w:t>，</w:t>
      </w:r>
      <w:r>
        <w:rPr>
          <w:rFonts w:hint="eastAsia" w:ascii="仿宋_GB2312" w:hAnsi="黑体"/>
          <w:szCs w:val="32"/>
        </w:rPr>
        <w:t>提出具有指导性、针对性的方案和可操作性的政策建议，助力鸠兹科创湾快速发展，实现与科大硅谷的协同共进。</w:t>
      </w:r>
    </w:p>
    <w:p w14:paraId="419F0E2D">
      <w:pPr>
        <w:numPr>
          <w:ilvl w:val="0"/>
          <w:numId w:val="0"/>
        </w:numPr>
        <w:spacing w:line="580" w:lineRule="exact"/>
        <w:ind w:leftChars="200"/>
        <w:rPr>
          <w:rFonts w:hint="eastAsia" w:ascii="黑体" w:hAnsi="黑体" w:eastAsia="黑体"/>
          <w:szCs w:val="32"/>
        </w:rPr>
      </w:pPr>
    </w:p>
    <w:p w14:paraId="2992A6F9">
      <w:pPr>
        <w:numPr>
          <w:ilvl w:val="0"/>
          <w:numId w:val="1"/>
        </w:numPr>
        <w:spacing w:line="580" w:lineRule="exact"/>
        <w:ind w:left="0" w:leftChars="0" w:firstLine="632" w:firstLineChars="200"/>
        <w:rPr>
          <w:rFonts w:hint="eastAsia" w:ascii="楷体_GB2312" w:hAnsi="楷体_GB2312" w:eastAsia="楷体_GB2312" w:cs="楷体_GB2312"/>
          <w:szCs w:val="32"/>
        </w:rPr>
      </w:pPr>
      <w:r>
        <w:rPr>
          <w:rFonts w:hint="eastAsia" w:ascii="黑体" w:hAnsi="黑体" w:eastAsia="黑体"/>
          <w:szCs w:val="32"/>
        </w:rPr>
        <w:t>在区域文化旅游中心建设背景下，如何将芜湖文化旅游业打造成为支柱产业</w:t>
      </w:r>
    </w:p>
    <w:p w14:paraId="20DA6139">
      <w:pPr>
        <w:spacing w:line="580" w:lineRule="exact"/>
        <w:ind w:firstLine="632" w:firstLineChars="200"/>
        <w:rPr>
          <w:rFonts w:hint="eastAsia" w:ascii="仿宋_GB2312" w:hAnsi="黑体"/>
          <w:szCs w:val="32"/>
        </w:rPr>
      </w:pPr>
      <w:r>
        <w:rPr>
          <w:rFonts w:hint="eastAsia" w:ascii="仿宋_GB2312" w:hAnsi="黑体"/>
          <w:szCs w:val="32"/>
        </w:rPr>
        <w:t>文化旅游业作为综合性产业，正以其独特的魅力和广阔的发展前景，成为带动区域经济增长、促进文化繁荣、增进民生福祉的重要力量。习近平总书记在安徽考察时强调：“要进一步推动文化和旅游融合发展，发展全域旅游，把文化旅游业打造成为支柱产业。”这一重要论述，为文化旅游业高质量发展指明了方向、提供了遵循。党的二十届三中全会《决定》明确，要“健全文化和旅游深度融合发展体制机制”推动文旅融合发展、把文化旅游业打造成支柱产业，是党中央早已在谋局之中的大事。要让芜湖的文化旅游业成长为支柱产业，让芜湖文化“走出去”的底气更足，外地朋友“走进来”的动力更强，对芜湖的了解也会更充分、真实和全面。本课题要求围绕区域文化旅游中心建设背景，结合区位优势、文旅资源、产业基础等现有条件，参考国内外优秀区域文化旅游中心发展案例，深入研究分析我市文化旅游业发展方向，从顶层设计、创新供给、激发经营主体活力、营造良好发展环境等方面提出将芜湖文化旅游业打造成为支柱产业的模式建议。</w:t>
      </w:r>
    </w:p>
    <w:p w14:paraId="3E0F032A">
      <w:pPr>
        <w:spacing w:line="580" w:lineRule="exact"/>
        <w:ind w:firstLine="632" w:firstLineChars="200"/>
        <w:rPr>
          <w:rFonts w:hint="eastAsia" w:ascii="仿宋_GB2312" w:hAnsi="黑体"/>
          <w:szCs w:val="32"/>
        </w:rPr>
      </w:pPr>
    </w:p>
    <w:p w14:paraId="7F8A43A0">
      <w:pPr>
        <w:numPr>
          <w:ilvl w:val="0"/>
          <w:numId w:val="0"/>
        </w:numPr>
        <w:spacing w:line="580" w:lineRule="exact"/>
        <w:rPr>
          <w:rFonts w:hint="eastAsia" w:ascii="黑体" w:hAnsi="黑体" w:eastAsia="黑体"/>
          <w:szCs w:val="32"/>
        </w:rPr>
      </w:pPr>
    </w:p>
    <w:p w14:paraId="27811AEE">
      <w:pPr>
        <w:numPr>
          <w:ilvl w:val="0"/>
          <w:numId w:val="1"/>
        </w:numPr>
        <w:spacing w:line="580" w:lineRule="exact"/>
        <w:ind w:left="0" w:leftChars="0" w:firstLine="632" w:firstLineChars="200"/>
        <w:rPr>
          <w:rFonts w:hint="eastAsia" w:ascii="楷体_GB2312" w:hAnsi="楷体_GB2312" w:eastAsia="楷体_GB2312" w:cs="楷体_GB2312"/>
          <w:szCs w:val="32"/>
        </w:rPr>
      </w:pPr>
      <w:r>
        <w:rPr>
          <w:rFonts w:hint="eastAsia" w:ascii="黑体" w:hAnsi="黑体" w:eastAsia="黑体"/>
          <w:szCs w:val="32"/>
        </w:rPr>
        <w:t>关于优化我市交通体系、物流体系匹配新能源和智能网联汽车产业发展的路径研究</w:t>
      </w:r>
    </w:p>
    <w:p w14:paraId="3965F1AC">
      <w:pPr>
        <w:spacing w:line="580" w:lineRule="exact"/>
        <w:ind w:firstLine="632" w:firstLineChars="200"/>
        <w:rPr>
          <w:rFonts w:hint="eastAsia" w:ascii="仿宋_GB2312" w:hAnsi="黑体"/>
          <w:szCs w:val="32"/>
        </w:rPr>
      </w:pPr>
      <w:r>
        <w:rPr>
          <w:rFonts w:hint="eastAsia" w:ascii="仿宋_GB2312" w:hAnsi="黑体"/>
          <w:szCs w:val="32"/>
        </w:rPr>
        <w:t>党的二十届三中全会审议通过《中共中央关于进一步全面深化改革、推进中国式现代化的决定》，强调“完善流通体制”“深化综合交通运输体系改革”。芜湖是全国性综合交通枢纽城市、港口型国家物流枢纽承载城市、复合型流通支点城市。交通体系、物流体系是现代化产业体系的重要组成部分，新形势下，芜湖发展壮大新能源和智能网联汽车产业，需要匹配好产业发展和交通体系、物流体系的规划构建。本课题要求，聚焦我市新能源和智能网联汽车产业，统筹交通区位、产业配套等，梳理当前我市交通体系建设适配产业发展的关键点和薄弱点，借鉴先进地区经验，为我市优化交通体系提出具有指导性、针对性的思路和可操作性的路径对策；聚焦我市新能源和智能网联汽车产业，分析物流通道衔接、仓储设施供应、枢纽效率、信息联动等数据，梳理当前我市物流体系建设适配产业发展的关键点和薄弱点，并借鉴先进地区经验，为我市优化物流体系提出具有指导性、针对性的思路和可操作性的路径对策。通过本课题的研究，推动我市为区域供应链、产业链物流集散提供立体交通支撑，改进物流流程和决策，提高运输效率，建设更加匹配新能源和智能网联汽车产业发展的交通体系、物流体系。</w:t>
      </w:r>
    </w:p>
    <w:p w14:paraId="35D69722">
      <w:pPr>
        <w:numPr>
          <w:ilvl w:val="0"/>
          <w:numId w:val="0"/>
        </w:numPr>
        <w:spacing w:line="580" w:lineRule="exact"/>
        <w:ind w:leftChars="200"/>
        <w:rPr>
          <w:rFonts w:hint="eastAsia" w:ascii="黑体" w:hAnsi="黑体" w:eastAsia="黑体"/>
          <w:szCs w:val="32"/>
        </w:rPr>
      </w:pPr>
    </w:p>
    <w:p w14:paraId="0B7476D0">
      <w:pPr>
        <w:numPr>
          <w:ilvl w:val="0"/>
          <w:numId w:val="1"/>
        </w:numPr>
        <w:spacing w:line="580" w:lineRule="exact"/>
        <w:ind w:left="0" w:leftChars="0" w:firstLine="632" w:firstLineChars="200"/>
        <w:rPr>
          <w:rFonts w:hint="eastAsia" w:ascii="楷体_GB2312" w:hAnsi="楷体_GB2312" w:eastAsia="楷体_GB2312" w:cs="楷体_GB2312"/>
          <w:szCs w:val="32"/>
        </w:rPr>
      </w:pPr>
      <w:r>
        <w:rPr>
          <w:rFonts w:hint="eastAsia" w:ascii="黑体" w:hAnsi="黑体" w:eastAsia="黑体"/>
          <w:szCs w:val="32"/>
        </w:rPr>
        <w:t>芜湖市房地产市场供求关系研究</w:t>
      </w:r>
    </w:p>
    <w:p w14:paraId="392B7007">
      <w:pPr>
        <w:spacing w:line="580" w:lineRule="exact"/>
        <w:ind w:firstLine="632" w:firstLineChars="200"/>
        <w:rPr>
          <w:rFonts w:hint="eastAsia" w:ascii="仿宋_GB2312" w:hAnsi="黑体"/>
          <w:szCs w:val="32"/>
        </w:rPr>
      </w:pPr>
      <w:r>
        <w:rPr>
          <w:rFonts w:hint="eastAsia" w:ascii="仿宋_GB2312" w:hAnsi="黑体"/>
          <w:szCs w:val="32"/>
        </w:rPr>
        <w:t>近年来，我市房地产市场持续深度调整，行业角色整体从“发动机”向“稳定器”转变。当前我市房地产市场供求关系正在发生深刻变化：供给端当前我市套户比和人均住房面积已处于较高水平；住房供给持续萎缩，市场持续低迷，新开工和批准预售持续走低，市场供给达到历史最低；商品住房库存体量大，销售速度放缓，去化周期大幅增加；商品住宅土地成交面积、金额和亩均成交单价持续走低；房地产贷款余额总体稳定，公积金年末存贷比逐年降低。需求端新房市场销售低迷，但降幅有所收窄，商品住宅售价降幅明显；二手房成交面积和成交均价基本保持稳定，二手房成交面积大于新房销售面积；商品住房由供不应求转变为供大于求。通过对我市房地产市场供求关系研究，不仅能够为政策制定提供科学依据，推动政策创新，避免房地产市场波动对经济的过度冲击，稳定经济增长，而且有助于合理控制土地供应、盘活存量资源、优化资源配置，还能更好地满足居民对高品质住房的需求，同时为中低收入群体提供保障性住房，增强市场信心，促进社会和谐。本课题要求在分析我市房地产市场供求关系变化的基础上，围绕我市房地产、税收、金融等各项政策的调整与优化、房地产市场发展模式的编制与构建、市场机制的优化等方面，提出具有指导性、针对性的路径对策和可操作性的政策建议。</w:t>
      </w:r>
    </w:p>
    <w:p w14:paraId="0C4A16E9">
      <w:pPr>
        <w:spacing w:line="580" w:lineRule="exact"/>
        <w:ind w:firstLine="632" w:firstLineChars="200"/>
        <w:rPr>
          <w:rFonts w:hint="eastAsia" w:ascii="仿宋_GB2312" w:hAnsi="黑体"/>
          <w:szCs w:val="32"/>
        </w:rPr>
      </w:pPr>
    </w:p>
    <w:p w14:paraId="03804B47">
      <w:pPr>
        <w:spacing w:line="580" w:lineRule="exact"/>
        <w:ind w:firstLine="632" w:firstLineChars="200"/>
        <w:rPr>
          <w:rFonts w:hint="eastAsia" w:ascii="楷体_GB2312" w:hAnsi="楷体_GB2312" w:eastAsia="楷体_GB2312" w:cs="楷体_GB2312"/>
          <w:szCs w:val="32"/>
          <w:lang w:val="en-US" w:eastAsia="zh-CN"/>
        </w:rPr>
      </w:pPr>
      <w:r>
        <w:rPr>
          <w:rFonts w:hint="eastAsia" w:ascii="黑体" w:hAnsi="黑体" w:eastAsia="黑体"/>
          <w:szCs w:val="32"/>
          <w:lang w:val="en-US" w:eastAsia="zh-CN"/>
        </w:rPr>
        <w:t>6.</w:t>
      </w:r>
      <w:r>
        <w:rPr>
          <w:rFonts w:hint="eastAsia" w:ascii="黑体" w:hAnsi="黑体" w:eastAsia="黑体"/>
          <w:szCs w:val="32"/>
        </w:rPr>
        <w:t>大力促进芜湖农业智慧化发展，推动智慧农业技术标准化语言体系构建与实施研究</w:t>
      </w:r>
      <w:r>
        <w:rPr>
          <w:rFonts w:hint="eastAsia" w:ascii="黑体" w:hAnsi="黑体" w:eastAsia="黑体"/>
          <w:szCs w:val="32"/>
          <w:lang w:val="en-US" w:eastAsia="zh-CN"/>
        </w:rPr>
        <w:t xml:space="preserve"> </w:t>
      </w:r>
      <w:bookmarkStart w:id="0" w:name="_GoBack"/>
      <w:bookmarkEnd w:id="0"/>
    </w:p>
    <w:p w14:paraId="58EC395D">
      <w:pPr>
        <w:spacing w:line="580" w:lineRule="exact"/>
        <w:ind w:firstLine="632" w:firstLineChars="200"/>
        <w:rPr>
          <w:rFonts w:hint="eastAsia" w:ascii="仿宋_GB2312" w:hAnsi="黑体"/>
          <w:szCs w:val="32"/>
        </w:rPr>
      </w:pPr>
      <w:r>
        <w:rPr>
          <w:rFonts w:hint="eastAsia" w:ascii="仿宋_GB2312" w:hAnsi="黑体"/>
          <w:szCs w:val="32"/>
        </w:rPr>
        <w:t>《农业农村部关于大力发展智慧农业的指导意见》强调，“智慧农业是发展现代农业的重要着力点,是建设农业强国的战略制高点”。新形势下，我市要大力发展智慧农业,助力推进乡村全面振兴、加快建设农业强国,要因地制宜探索数字化、智能化解决方案,全方位提升智慧农业应用水平,推动农业产业数字化改造,推进农业农村管理服务数字化建设，需要根据实际情况有选择地制定符合自身特点的发展战略。本课题要求围绕提高农业全要素生产率和农业农村管理服务效能，开展先行先试建设，通过强化政策创设、推动机制创新、集中用好各类支持措施，打造智慧农业技术标准化语言体系，探索形成区域性的整体解决方案。同时，找出当前我市在智慧农业发展中的关键点和薄弱环节，提出具有指导性、针对性的优化思路和可操作性的路径对策。</w:t>
      </w:r>
    </w:p>
    <w:p w14:paraId="16C230AD">
      <w:pPr>
        <w:spacing w:line="580" w:lineRule="exact"/>
        <w:rPr>
          <w:rFonts w:ascii="仿宋_GB2312" w:hAnsi="黑体"/>
          <w:szCs w:val="32"/>
        </w:rPr>
      </w:pPr>
    </w:p>
    <w:sectPr>
      <w:footerReference r:id="rId3" w:type="default"/>
      <w:footerReference r:id="rId4" w:type="even"/>
      <w:pgSz w:w="11906" w:h="16838"/>
      <w:pgMar w:top="1985" w:right="1531" w:bottom="1871" w:left="1531" w:header="851" w:footer="1588" w:gutter="0"/>
      <w:cols w:space="720" w:num="1"/>
      <w:docGrid w:type="linesAndChars" w:linePitch="590"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8F2EC6">
    <w:pPr>
      <w:pStyle w:val="4"/>
      <w:ind w:left="320" w:leftChars="100" w:right="320" w:rightChars="100"/>
      <w:jc w:val="center"/>
      <w:rPr>
        <w:sz w:val="28"/>
        <w:szCs w:val="28"/>
      </w:rPr>
    </w:pPr>
    <w:r>
      <w:rPr>
        <w:rFonts w:hint="eastAsia"/>
        <w:sz w:val="28"/>
        <w:szCs w:val="28"/>
      </w:rPr>
      <w:t>—</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5</w:t>
    </w:r>
    <w:r>
      <w:rPr>
        <w:rFonts w:ascii="宋体" w:hAnsi="宋体"/>
        <w:sz w:val="28"/>
        <w:szCs w:val="28"/>
      </w:rPr>
      <w:fldChar w:fldCharType="end"/>
    </w:r>
    <w:r>
      <w:rPr>
        <w:rFonts w:hint="eastAsia"/>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E5F31B">
    <w:pPr>
      <w:pStyle w:val="4"/>
      <w:ind w:left="320" w:leftChars="100" w:right="320" w:rightChars="100"/>
      <w:jc w:val="center"/>
      <w:rPr>
        <w:sz w:val="20"/>
      </w:rPr>
    </w:pPr>
    <w:r>
      <w:rPr>
        <w:rFonts w:hint="eastAsia"/>
        <w:sz w:val="28"/>
        <w:szCs w:val="24"/>
      </w:rPr>
      <w:t>—</w:t>
    </w:r>
    <w:r>
      <w:rPr>
        <w:rFonts w:ascii="宋体" w:hAnsi="宋体"/>
        <w:sz w:val="28"/>
        <w:szCs w:val="24"/>
      </w:rPr>
      <w:fldChar w:fldCharType="begin"/>
    </w:r>
    <w:r>
      <w:rPr>
        <w:rFonts w:ascii="宋体" w:hAnsi="宋体"/>
        <w:sz w:val="28"/>
        <w:szCs w:val="24"/>
      </w:rPr>
      <w:instrText xml:space="preserve"> PAGE   \* MERGEFORMAT </w:instrText>
    </w:r>
    <w:r>
      <w:rPr>
        <w:rFonts w:ascii="宋体" w:hAnsi="宋体"/>
        <w:sz w:val="28"/>
        <w:szCs w:val="24"/>
      </w:rPr>
      <w:fldChar w:fldCharType="separate"/>
    </w:r>
    <w:r>
      <w:rPr>
        <w:rFonts w:ascii="宋体" w:hAnsi="宋体"/>
        <w:sz w:val="28"/>
        <w:szCs w:val="24"/>
        <w:lang w:val="zh-CN"/>
      </w:rPr>
      <w:t>4</w:t>
    </w:r>
    <w:r>
      <w:rPr>
        <w:rFonts w:ascii="宋体" w:hAnsi="宋体"/>
        <w:sz w:val="28"/>
        <w:szCs w:val="24"/>
      </w:rPr>
      <w:fldChar w:fldCharType="end"/>
    </w:r>
    <w:r>
      <w:rPr>
        <w:rFonts w:hint="eastAsia"/>
        <w:sz w:val="28"/>
        <w:szCs w:val="24"/>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0232C4"/>
    <w:multiLevelType w:val="singleLevel"/>
    <w:tmpl w:val="2C0232C4"/>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VmMDhlZjk1YzMwYzAyMjk2MWFjMzFkNmMwNTUyYjcifQ=="/>
  </w:docVars>
  <w:rsids>
    <w:rsidRoot w:val="002D0745"/>
    <w:rsid w:val="00010D7C"/>
    <w:rsid w:val="002D0745"/>
    <w:rsid w:val="004A2352"/>
    <w:rsid w:val="006A1273"/>
    <w:rsid w:val="00E1462F"/>
    <w:rsid w:val="00FD3281"/>
    <w:rsid w:val="01224382"/>
    <w:rsid w:val="0992348B"/>
    <w:rsid w:val="13D22600"/>
    <w:rsid w:val="14497C4C"/>
    <w:rsid w:val="20A951E7"/>
    <w:rsid w:val="20F52909"/>
    <w:rsid w:val="226E487C"/>
    <w:rsid w:val="2D2708F0"/>
    <w:rsid w:val="323E5792"/>
    <w:rsid w:val="32EF117B"/>
    <w:rsid w:val="34E6283D"/>
    <w:rsid w:val="3AEF1D20"/>
    <w:rsid w:val="3D8E7628"/>
    <w:rsid w:val="3DC654EF"/>
    <w:rsid w:val="45661CFB"/>
    <w:rsid w:val="46B2277A"/>
    <w:rsid w:val="49AA4A77"/>
    <w:rsid w:val="4E9861DB"/>
    <w:rsid w:val="5011116B"/>
    <w:rsid w:val="5D4B2542"/>
    <w:rsid w:val="6AEF5E7F"/>
    <w:rsid w:val="730B2E93"/>
    <w:rsid w:val="73722F12"/>
    <w:rsid w:val="76856AB9"/>
    <w:rsid w:val="7A4A42A1"/>
    <w:rsid w:val="7A552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Balloon Text"/>
    <w:basedOn w:val="1"/>
    <w:link w:val="13"/>
    <w:unhideWhenUsed/>
    <w:qFormat/>
    <w:uiPriority w:val="99"/>
    <w:rPr>
      <w:sz w:val="18"/>
      <w:szCs w:val="18"/>
    </w:rPr>
  </w:style>
  <w:style w:type="paragraph" w:styleId="4">
    <w:name w:val="footer"/>
    <w:basedOn w:val="1"/>
    <w:link w:val="11"/>
    <w:autoRedefine/>
    <w:unhideWhenUsed/>
    <w:qFormat/>
    <w:uiPriority w:val="0"/>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autoRedefine/>
    <w:qFormat/>
    <w:uiPriority w:val="22"/>
    <w:rPr>
      <w:b/>
      <w:bCs/>
    </w:rPr>
  </w:style>
  <w:style w:type="character" w:styleId="9">
    <w:name w:val="annotation reference"/>
    <w:basedOn w:val="7"/>
    <w:autoRedefine/>
    <w:unhideWhenUsed/>
    <w:qFormat/>
    <w:uiPriority w:val="99"/>
    <w:rPr>
      <w:sz w:val="21"/>
      <w:szCs w:val="21"/>
    </w:rPr>
  </w:style>
  <w:style w:type="character" w:customStyle="1" w:styleId="10">
    <w:name w:val="页眉 Char"/>
    <w:basedOn w:val="7"/>
    <w:link w:val="5"/>
    <w:autoRedefine/>
    <w:qFormat/>
    <w:uiPriority w:val="99"/>
    <w:rPr>
      <w:sz w:val="18"/>
      <w:szCs w:val="18"/>
    </w:rPr>
  </w:style>
  <w:style w:type="character" w:customStyle="1" w:styleId="11">
    <w:name w:val="页脚 Char"/>
    <w:basedOn w:val="7"/>
    <w:link w:val="4"/>
    <w:autoRedefine/>
    <w:qFormat/>
    <w:uiPriority w:val="0"/>
    <w:rPr>
      <w:sz w:val="18"/>
      <w:szCs w:val="18"/>
    </w:rPr>
  </w:style>
  <w:style w:type="paragraph" w:customStyle="1" w:styleId="12">
    <w:name w:val="列出段落1"/>
    <w:basedOn w:val="1"/>
    <w:autoRedefine/>
    <w:qFormat/>
    <w:uiPriority w:val="34"/>
    <w:pPr>
      <w:ind w:firstLine="420" w:firstLineChars="200"/>
    </w:pPr>
  </w:style>
  <w:style w:type="character" w:customStyle="1" w:styleId="13">
    <w:name w:val="批注框文本 Char"/>
    <w:basedOn w:val="7"/>
    <w:link w:val="3"/>
    <w:autoRedefine/>
    <w:semiHidden/>
    <w:qFormat/>
    <w:uiPriority w:val="99"/>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6</Pages>
  <Words>2778</Words>
  <Characters>2797</Characters>
  <Lines>20</Lines>
  <Paragraphs>5</Paragraphs>
  <TotalTime>11</TotalTime>
  <ScaleCrop>false</ScaleCrop>
  <LinksUpToDate>false</LinksUpToDate>
  <CharactersWithSpaces>2799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2024-01-31T02:37:00Z</dcterms:created>
  <dc:creator>微软用户</dc:creator>
  <cp:lastModifiedBy>晋</cp:lastModifiedBy>
  <dcterms:modified xsi:type="dcterms:W3CDTF">2025-01-23T01:50:34Z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D7C544D13D0E4C69BD1CFF538E751F8A_13</vt:lpwstr>
  </property>
  <property fmtid="{D5CDD505-2E9C-101B-9397-08002B2CF9AE}" pid="4" name="KSOTemplateDocerSaveRecord">
    <vt:lpwstr>eyJoZGlkIjoiYTVmMDhlZjk1YzMwYzAyMjk2MWFjMzFkNmMwNTUyYjciLCJ1c2VySWQiOiI4NDI5ODI4MjMifQ==</vt:lpwstr>
  </property>
</Properties>
</file>