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D0" w:rsidRPr="008D4E2E" w:rsidRDefault="00364F85">
      <w:pPr>
        <w:spacing w:line="288" w:lineRule="auto"/>
        <w:jc w:val="center"/>
        <w:rPr>
          <w:rFonts w:ascii="黑体" w:eastAsia="黑体" w:hAnsi="黑体"/>
          <w:bCs/>
          <w:color w:val="000000" w:themeColor="text1"/>
          <w:sz w:val="32"/>
          <w:szCs w:val="32"/>
        </w:rPr>
      </w:pPr>
      <w:r w:rsidRPr="008D4E2E">
        <w:rPr>
          <w:rFonts w:ascii="宋体" w:eastAsia="宋体" w:hAnsi="宋体" w:hint="eastAsia"/>
          <w:b/>
          <w:bCs/>
          <w:color w:val="000000" w:themeColor="text1"/>
          <w:sz w:val="32"/>
          <w:szCs w:val="32"/>
        </w:rPr>
        <w:t xml:space="preserve">         </w:t>
      </w:r>
      <w:r w:rsidRPr="008D4E2E">
        <w:rPr>
          <w:rFonts w:ascii="宋体" w:eastAsia="宋体" w:hAnsi="宋体" w:hint="eastAsia"/>
          <w:color w:val="000000" w:themeColor="text1"/>
          <w:sz w:val="48"/>
          <w:szCs w:val="48"/>
        </w:rPr>
        <w:t xml:space="preserve">  </w:t>
      </w:r>
      <w:r w:rsidRPr="008D4E2E">
        <w:rPr>
          <w:rFonts w:ascii="宋体" w:eastAsia="宋体" w:hAnsi="宋体" w:hint="eastAsia"/>
          <w:b/>
          <w:bCs/>
          <w:color w:val="000000" w:themeColor="text1"/>
          <w:sz w:val="32"/>
          <w:szCs w:val="32"/>
        </w:rPr>
        <w:t xml:space="preserve">   </w:t>
      </w:r>
      <w:r w:rsidRPr="008D4E2E">
        <w:rPr>
          <w:rFonts w:ascii="宋体" w:eastAsia="宋体" w:hAnsi="宋体" w:hint="eastAsia"/>
          <w:b/>
          <w:bCs/>
          <w:color w:val="000000" w:themeColor="text1"/>
          <w:sz w:val="44"/>
          <w:szCs w:val="44"/>
        </w:rPr>
        <w:t xml:space="preserve"> </w:t>
      </w:r>
      <w:r w:rsidRPr="008D4E2E">
        <w:rPr>
          <w:rFonts w:ascii="宋体" w:eastAsia="宋体" w:hAnsi="宋体" w:hint="eastAsia"/>
          <w:b/>
          <w:bCs/>
          <w:color w:val="000000" w:themeColor="text1"/>
          <w:sz w:val="48"/>
          <w:szCs w:val="48"/>
        </w:rPr>
        <w:t xml:space="preserve"> </w:t>
      </w:r>
      <w:r w:rsidRPr="008D4E2E">
        <w:rPr>
          <w:rFonts w:ascii="宋体" w:eastAsia="宋体" w:hAnsi="宋体" w:hint="eastAsia"/>
          <w:b/>
          <w:bCs/>
          <w:color w:val="000000" w:themeColor="text1"/>
          <w:sz w:val="32"/>
          <w:szCs w:val="32"/>
        </w:rPr>
        <w:t xml:space="preserve">                                                                       </w:t>
      </w:r>
      <w:bookmarkStart w:id="0" w:name="_Toc183316709"/>
      <w:bookmarkStart w:id="1" w:name="_Toc182886647"/>
      <w:bookmarkStart w:id="2" w:name="_Toc372468300"/>
      <w:r w:rsidRPr="008D4E2E">
        <w:rPr>
          <w:rFonts w:ascii="黑体" w:eastAsia="黑体" w:hAnsi="黑体" w:hint="eastAsia"/>
          <w:bCs/>
          <w:color w:val="000000" w:themeColor="text1"/>
          <w:sz w:val="32"/>
          <w:szCs w:val="32"/>
        </w:rPr>
        <w:t>安徽商贸职业技术学院体育场亮化及附属改造工程用户需求书</w:t>
      </w:r>
    </w:p>
    <w:p w:rsidR="00D331D0" w:rsidRPr="008D4E2E" w:rsidRDefault="00D331D0">
      <w:pPr>
        <w:spacing w:line="288" w:lineRule="auto"/>
        <w:jc w:val="center"/>
        <w:rPr>
          <w:rFonts w:ascii="宋体" w:eastAsia="宋体" w:hAnsi="宋体"/>
          <w:b/>
          <w:bCs/>
          <w:color w:val="000000" w:themeColor="text1"/>
          <w:sz w:val="32"/>
          <w:szCs w:val="32"/>
        </w:rPr>
      </w:pPr>
    </w:p>
    <w:p w:rsidR="00D331D0" w:rsidRPr="008D4E2E" w:rsidRDefault="00364F85">
      <w:pPr>
        <w:pStyle w:val="2"/>
        <w:spacing w:line="288" w:lineRule="auto"/>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一、项目名称及预算</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1、项目名称：2023年体育场亮化及附属改造工程</w:t>
      </w:r>
    </w:p>
    <w:p w:rsidR="00D331D0" w:rsidRPr="008D4E2E" w:rsidRDefault="00364F85">
      <w:pPr>
        <w:pStyle w:val="af4"/>
        <w:adjustRightInd w:val="0"/>
        <w:snapToGrid w:val="0"/>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2、项目预算：300万元</w:t>
      </w:r>
    </w:p>
    <w:p w:rsidR="00D331D0" w:rsidRPr="008D4E2E" w:rsidRDefault="00364F85">
      <w:pPr>
        <w:pStyle w:val="2"/>
        <w:spacing w:line="288" w:lineRule="auto"/>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二、项目概况</w:t>
      </w:r>
    </w:p>
    <w:p w:rsidR="00D331D0" w:rsidRPr="008D4E2E" w:rsidRDefault="00364F85">
      <w:pPr>
        <w:spacing w:line="288" w:lineRule="auto"/>
        <w:ind w:firstLineChars="200" w:firstLine="480"/>
        <w:rPr>
          <w:rFonts w:ascii="宋体" w:eastAsia="宋体" w:hAnsi="宋体" w:cs="宋体"/>
          <w:color w:val="000000" w:themeColor="text1"/>
          <w:szCs w:val="21"/>
        </w:rPr>
      </w:pPr>
      <w:r w:rsidRPr="008D4E2E">
        <w:rPr>
          <w:rFonts w:ascii="宋体" w:eastAsia="宋体" w:hAnsi="宋体" w:cs="宋体" w:hint="eastAsia"/>
          <w:color w:val="000000" w:themeColor="text1"/>
          <w:sz w:val="24"/>
        </w:rPr>
        <w:t>项目建设具体包括：LED体育场专用高杆灯、30米灯杆、电源驱动箱、智能控制柜、地基处理及灯杆基础、运动场地及道路等恢复、工程系统、线路等调试、检测、检验等。</w:t>
      </w:r>
    </w:p>
    <w:p w:rsidR="00D331D0" w:rsidRPr="008D4E2E" w:rsidRDefault="00D331D0">
      <w:pPr>
        <w:adjustRightInd w:val="0"/>
        <w:snapToGrid w:val="0"/>
        <w:spacing w:line="288" w:lineRule="auto"/>
        <w:rPr>
          <w:rFonts w:ascii="宋体" w:eastAsia="宋体" w:hAnsi="宋体"/>
          <w:b/>
          <w:bCs/>
          <w:color w:val="000000" w:themeColor="text1"/>
          <w:sz w:val="24"/>
        </w:rPr>
      </w:pPr>
      <w:bookmarkStart w:id="3" w:name="OLE_LINK6"/>
      <w:bookmarkStart w:id="4" w:name="_Toc170"/>
      <w:bookmarkStart w:id="5" w:name="_Toc15517"/>
    </w:p>
    <w:p w:rsidR="00D331D0" w:rsidRPr="008D4E2E" w:rsidRDefault="00364F85">
      <w:pPr>
        <w:spacing w:line="288" w:lineRule="auto"/>
        <w:rPr>
          <w:rFonts w:ascii="宋体" w:eastAsia="宋体" w:hAnsi="宋体"/>
          <w:b/>
          <w:bCs/>
          <w:color w:val="000000" w:themeColor="text1"/>
          <w:sz w:val="24"/>
        </w:rPr>
      </w:pPr>
      <w:r w:rsidRPr="008D4E2E">
        <w:rPr>
          <w:rFonts w:ascii="宋体" w:eastAsia="宋体" w:hAnsi="宋体" w:cs="宋体" w:hint="eastAsia"/>
          <w:b/>
          <w:bCs/>
          <w:color w:val="000000" w:themeColor="text1"/>
          <w:sz w:val="24"/>
        </w:rPr>
        <w:t>三、采购项目清单及要求</w:t>
      </w:r>
    </w:p>
    <w:bookmarkEnd w:id="0"/>
    <w:bookmarkEnd w:id="1"/>
    <w:bookmarkEnd w:id="2"/>
    <w:bookmarkEnd w:id="3"/>
    <w:bookmarkEnd w:id="4"/>
    <w:bookmarkEnd w:id="5"/>
    <w:p w:rsidR="00D331D0" w:rsidRPr="008D4E2E" w:rsidRDefault="00364F85">
      <w:pPr>
        <w:adjustRightInd w:val="0"/>
        <w:snapToGrid w:val="0"/>
        <w:spacing w:line="288" w:lineRule="auto"/>
        <w:ind w:firstLineChars="200" w:firstLine="482"/>
        <w:rPr>
          <w:rFonts w:ascii="宋体" w:eastAsia="宋体" w:hAnsi="宋体"/>
          <w:color w:val="000000" w:themeColor="text1"/>
        </w:rPr>
      </w:pPr>
      <w:r w:rsidRPr="008D4E2E">
        <w:rPr>
          <w:rFonts w:ascii="宋体" w:eastAsia="宋体" w:hAnsi="宋体" w:cs="宋体" w:hint="eastAsia"/>
          <w:b/>
          <w:bCs/>
          <w:color w:val="000000" w:themeColor="text1"/>
          <w:sz w:val="24"/>
        </w:rPr>
        <w:t>核心产品：</w:t>
      </w:r>
      <w:r w:rsidRPr="008D4E2E">
        <w:rPr>
          <w:rFonts w:ascii="宋体" w:eastAsia="宋体" w:hAnsi="宋体" w:cs="宋体" w:hint="eastAsia"/>
          <w:color w:val="000000" w:themeColor="text1"/>
          <w:sz w:val="24"/>
        </w:rPr>
        <w:t>LED体育场专用高杆灯</w:t>
      </w:r>
    </w:p>
    <w:p w:rsidR="00D331D0" w:rsidRPr="008D4E2E" w:rsidRDefault="00364F85">
      <w:pPr>
        <w:pStyle w:val="af4"/>
        <w:numPr>
          <w:ilvl w:val="0"/>
          <w:numId w:val="1"/>
        </w:numPr>
        <w:spacing w:line="288" w:lineRule="auto"/>
        <w:rPr>
          <w:rFonts w:ascii="宋体" w:eastAsia="宋体" w:hAnsi="宋体"/>
          <w:b/>
          <w:bCs/>
          <w:color w:val="000000" w:themeColor="text1"/>
          <w:sz w:val="24"/>
          <w:szCs w:val="24"/>
        </w:rPr>
      </w:pPr>
      <w:r w:rsidRPr="008D4E2E">
        <w:rPr>
          <w:rFonts w:ascii="宋体" w:eastAsia="宋体" w:hAnsi="宋体" w:hint="eastAsia"/>
          <w:b/>
          <w:bCs/>
          <w:color w:val="000000" w:themeColor="text1"/>
          <w:sz w:val="24"/>
          <w:szCs w:val="24"/>
        </w:rPr>
        <w:t>采购清单</w:t>
      </w:r>
    </w:p>
    <w:p w:rsidR="00D331D0" w:rsidRPr="008D4E2E" w:rsidRDefault="00364F85">
      <w:pPr>
        <w:pStyle w:val="af4"/>
        <w:spacing w:line="288" w:lineRule="auto"/>
        <w:ind w:left="420" w:firstLineChars="300" w:firstLine="720"/>
        <w:rPr>
          <w:rFonts w:ascii="宋体" w:eastAsia="宋体" w:hAnsi="宋体"/>
          <w:color w:val="000000" w:themeColor="text1"/>
          <w:sz w:val="24"/>
          <w:szCs w:val="24"/>
        </w:rPr>
      </w:pPr>
      <w:r w:rsidRPr="008D4E2E">
        <w:rPr>
          <w:rFonts w:ascii="宋体" w:eastAsia="宋体" w:hAnsi="宋体" w:hint="eastAsia"/>
          <w:color w:val="000000" w:themeColor="text1"/>
          <w:sz w:val="24"/>
          <w:szCs w:val="24"/>
        </w:rPr>
        <w:t>详见附件</w:t>
      </w:r>
    </w:p>
    <w:p w:rsidR="00D331D0" w:rsidRPr="008D4E2E" w:rsidRDefault="00D331D0">
      <w:pPr>
        <w:pStyle w:val="af4"/>
        <w:spacing w:line="288" w:lineRule="auto"/>
        <w:ind w:firstLine="0"/>
        <w:rPr>
          <w:rFonts w:ascii="宋体" w:eastAsia="宋体" w:hAnsi="宋体"/>
          <w:b/>
          <w:bCs/>
          <w:color w:val="000000" w:themeColor="text1"/>
          <w:sz w:val="24"/>
          <w:szCs w:val="24"/>
        </w:rPr>
      </w:pPr>
    </w:p>
    <w:p w:rsidR="00D331D0" w:rsidRPr="008D4E2E" w:rsidRDefault="00364F85">
      <w:pPr>
        <w:spacing w:line="288" w:lineRule="auto"/>
        <w:rPr>
          <w:rFonts w:ascii="宋体" w:eastAsia="宋体" w:hAnsi="宋体" w:cs="宋体"/>
          <w:b/>
          <w:bCs/>
          <w:color w:val="000000" w:themeColor="text1"/>
          <w:sz w:val="24"/>
        </w:rPr>
      </w:pPr>
      <w:r w:rsidRPr="008D4E2E">
        <w:rPr>
          <w:rFonts w:ascii="宋体" w:eastAsia="宋体" w:hAnsi="宋体" w:cs="宋体" w:hint="eastAsia"/>
          <w:b/>
          <w:bCs/>
          <w:color w:val="000000" w:themeColor="text1"/>
          <w:sz w:val="24"/>
        </w:rPr>
        <w:t>四、拟采购需求</w:t>
      </w:r>
    </w:p>
    <w:p w:rsidR="00D331D0" w:rsidRPr="008D4E2E" w:rsidRDefault="00364F85">
      <w:pPr>
        <w:pStyle w:val="3"/>
        <w:numPr>
          <w:ilvl w:val="0"/>
          <w:numId w:val="2"/>
        </w:numPr>
        <w:spacing w:before="0" w:after="0" w:line="288" w:lineRule="auto"/>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资格要求</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1.满足《中华人民共和国政府采购法》第二十二条规定。</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2.落实政府采购政策需满足的资格要求：本采购项目整体专门面向中小企业采购，供应商提供的工程由中小微企业、监狱企业或残疾人福利性单位承建。</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3.本项目的特定资格要求：</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3.1投标人资质要求：须具备市政公用工程施工总承包三级（或以上）资质的独立法人，具有有效的安全生产许可证。</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3.2投标人类似业绩要求：类似业绩指体育场亮化（照明）改造或体育场建设改造（含亮化、照明工程）项目。</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3.3项目负责人资质要求：投标人拟派项目经理需为二级及以上市政公用工程注册建造师，并取得安全生产B类证书。</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3.4本项目禁止挂靠投标，一经发现，立即取消投标资格，并列入不良记录名单。</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3.5参与本项目采购活动的供应商在评标结束当日被列入以下失信名单的，不得被推荐为本项目中标候选供应商。</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lastRenderedPageBreak/>
        <w:t>（1）供应商被列入失信被执行人的；</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（2）供应商被列入重大税收违法案件当事人名单的；</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（3）供应商被列入政府采购严重违法失信行为记录名单的；</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3.6本项目不接受联合体投标。</w:t>
      </w:r>
    </w:p>
    <w:p w:rsidR="00D331D0" w:rsidRPr="008D4E2E" w:rsidRDefault="00364F85">
      <w:pPr>
        <w:pStyle w:val="3"/>
        <w:numPr>
          <w:ilvl w:val="0"/>
          <w:numId w:val="2"/>
        </w:numPr>
        <w:spacing w:before="0" w:after="0" w:line="288" w:lineRule="auto"/>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拟建工程参考品牌</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LED体育场专业高杆灯推荐品牌：玛斯柯、海洋王、飞利浦。</w:t>
      </w:r>
    </w:p>
    <w:p w:rsidR="00D331D0" w:rsidRPr="008D4E2E" w:rsidRDefault="00364F85" w:rsidP="00637F46">
      <w:pPr>
        <w:pStyle w:val="af9"/>
        <w:spacing w:line="288" w:lineRule="auto"/>
        <w:ind w:firstLine="480"/>
        <w:rPr>
          <w:rFonts w:cs="宋体"/>
          <w:color w:val="000000" w:themeColor="text1"/>
          <w:sz w:val="24"/>
        </w:rPr>
      </w:pPr>
      <w:r w:rsidRPr="008D4E2E">
        <w:rPr>
          <w:rFonts w:cs="宋体" w:hint="eastAsia"/>
          <w:color w:val="000000" w:themeColor="text1"/>
          <w:sz w:val="24"/>
        </w:rPr>
        <w:t>注：以上所列品牌均为参考品牌，不作为指定品牌，投标人可以自行选择其它品牌报价，但须提供证明材料，证明投标品牌优于参考品牌，承包人负责采购以上产品，但投标单位所报产品品牌、质量、档次、性能、颜色、规格参数、进货渠道等方面不低于参考品牌，须经发包人认可后方可进场，同时须满足设计要求，确保一次性通过政府相关部门验收。</w:t>
      </w:r>
    </w:p>
    <w:p w:rsidR="00D331D0" w:rsidRPr="008D4E2E" w:rsidRDefault="00D331D0">
      <w:pPr>
        <w:spacing w:line="288" w:lineRule="auto"/>
        <w:rPr>
          <w:color w:val="000000" w:themeColor="text1"/>
        </w:rPr>
      </w:pPr>
    </w:p>
    <w:p w:rsidR="00D331D0" w:rsidRPr="008D4E2E" w:rsidRDefault="00364F85">
      <w:pPr>
        <w:pStyle w:val="3"/>
        <w:numPr>
          <w:ilvl w:val="0"/>
          <w:numId w:val="2"/>
        </w:numPr>
        <w:spacing w:before="0" w:after="0" w:line="288" w:lineRule="auto"/>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工程款支付</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本项目无工程预付款。工程竣工验收合格后付至已完工程量价款（不包含现场签证、设计变更等产生的价款）85%（扣除暂列金）；办理完结算并经审计部门审核确认后付至结算价的 100%（支付结算款前中标单位须将结算价的3%汇入招标人账户）</w:t>
      </w:r>
    </w:p>
    <w:p w:rsidR="00D331D0" w:rsidRPr="008D4E2E" w:rsidRDefault="00364F85">
      <w:pPr>
        <w:pStyle w:val="3"/>
        <w:numPr>
          <w:ilvl w:val="0"/>
          <w:numId w:val="2"/>
        </w:numPr>
        <w:spacing w:before="0" w:after="0" w:line="288" w:lineRule="auto"/>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质量要求</w:t>
      </w:r>
      <w:bookmarkStart w:id="6" w:name="_GoBack"/>
      <w:bookmarkEnd w:id="6"/>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1、要求整体质保24个月（自竣工验收合格之日开始计算），部分设备原厂质保超过24个月以原厂质保期为准。</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2、在项目实施过程中及售后服务期内，项目投标人需承诺指定专人负责与用户保持长期的联系与服务，做好后期照明灯具的维护保养工作。</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3、若发生质量问题，如基础松动、灯具不亮、灯杆保护层破损脱落等工程施工质量情况，中标方须在接到通知后48小时内进行处理，否则招标方有权扣除质保金。</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4、在售后服务期（质保期）内若出现中标方或负责人变更的情况，原中标方（或负责人）承担连带责任。</w:t>
      </w:r>
    </w:p>
    <w:p w:rsidR="00D331D0" w:rsidRPr="008D4E2E" w:rsidRDefault="00364F85">
      <w:pPr>
        <w:pStyle w:val="3"/>
        <w:numPr>
          <w:ilvl w:val="0"/>
          <w:numId w:val="2"/>
        </w:numPr>
        <w:spacing w:before="0" w:after="0" w:line="288" w:lineRule="auto"/>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项目完成时间及实施地点</w:t>
      </w:r>
    </w:p>
    <w:p w:rsidR="00D331D0" w:rsidRPr="008D4E2E" w:rsidRDefault="00364F85">
      <w:pPr>
        <w:pStyle w:val="af8"/>
        <w:numPr>
          <w:ilvl w:val="0"/>
          <w:numId w:val="3"/>
        </w:numPr>
        <w:tabs>
          <w:tab w:val="left" w:pos="993"/>
          <w:tab w:val="left" w:pos="1134"/>
          <w:tab w:val="left" w:pos="1418"/>
        </w:tabs>
        <w:adjustRightInd w:val="0"/>
        <w:snapToGrid w:val="0"/>
        <w:spacing w:line="288" w:lineRule="auto"/>
        <w:ind w:firstLineChars="0"/>
        <w:rPr>
          <w:rFonts w:ascii="宋体" w:eastAsia="宋体" w:hAnsi="宋体" w:cs="宋体"/>
          <w:color w:val="000000" w:themeColor="text1"/>
          <w:sz w:val="24"/>
        </w:rPr>
      </w:pPr>
      <w:r w:rsidRPr="008D4E2E">
        <w:rPr>
          <w:rFonts w:ascii="宋体" w:eastAsia="宋体" w:hAnsi="宋体" w:cs="宋体" w:hint="eastAsia"/>
          <w:color w:val="000000" w:themeColor="text1"/>
          <w:sz w:val="24"/>
        </w:rPr>
        <w:t>完成时间：在合同签订后50个日历天内完成并交付使用。</w:t>
      </w:r>
    </w:p>
    <w:p w:rsidR="00D331D0" w:rsidRPr="008D4E2E" w:rsidRDefault="00364F85">
      <w:pPr>
        <w:pStyle w:val="af8"/>
        <w:numPr>
          <w:ilvl w:val="0"/>
          <w:numId w:val="3"/>
        </w:numPr>
        <w:tabs>
          <w:tab w:val="left" w:pos="993"/>
          <w:tab w:val="left" w:pos="1134"/>
          <w:tab w:val="left" w:pos="1418"/>
        </w:tabs>
        <w:adjustRightInd w:val="0"/>
        <w:snapToGrid w:val="0"/>
        <w:spacing w:line="288" w:lineRule="auto"/>
        <w:ind w:firstLineChars="0"/>
        <w:rPr>
          <w:rFonts w:ascii="宋体" w:eastAsia="宋体" w:hAnsi="宋体" w:cs="宋体"/>
          <w:color w:val="000000" w:themeColor="text1"/>
          <w:kern w:val="0"/>
          <w:sz w:val="24"/>
        </w:rPr>
      </w:pPr>
      <w:r w:rsidRPr="008D4E2E">
        <w:rPr>
          <w:rFonts w:ascii="宋体" w:eastAsia="宋体" w:hAnsi="宋体" w:cs="宋体" w:hint="eastAsia"/>
          <w:color w:val="000000" w:themeColor="text1"/>
          <w:sz w:val="24"/>
        </w:rPr>
        <w:t>实施地点：安徽商贸职业技术学院</w:t>
      </w:r>
    </w:p>
    <w:p w:rsidR="00D331D0" w:rsidRPr="008D4E2E" w:rsidRDefault="00D331D0">
      <w:pPr>
        <w:pStyle w:val="af8"/>
        <w:tabs>
          <w:tab w:val="left" w:pos="993"/>
          <w:tab w:val="left" w:pos="1134"/>
          <w:tab w:val="left" w:pos="1418"/>
        </w:tabs>
        <w:adjustRightInd w:val="0"/>
        <w:snapToGrid w:val="0"/>
        <w:spacing w:line="288" w:lineRule="auto"/>
        <w:ind w:left="420" w:firstLineChars="0" w:firstLine="0"/>
        <w:rPr>
          <w:rFonts w:ascii="宋体" w:eastAsia="宋体" w:hAnsi="宋体" w:cs="宋体"/>
          <w:color w:val="000000" w:themeColor="text1"/>
          <w:kern w:val="0"/>
          <w:sz w:val="24"/>
        </w:rPr>
      </w:pPr>
    </w:p>
    <w:p w:rsidR="00D331D0" w:rsidRPr="008D4E2E" w:rsidRDefault="00364F85">
      <w:pPr>
        <w:pStyle w:val="3"/>
        <w:numPr>
          <w:ilvl w:val="0"/>
          <w:numId w:val="2"/>
        </w:numPr>
        <w:spacing w:before="0" w:after="0" w:line="288" w:lineRule="auto"/>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评审办法</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1.评审原则</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1.1合法、合规原则。</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1.2公平、公正、科学、审慎、择优原则。</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1.3 高分优先原则。衡量响应文件满足竞争性磋商文件规定的各项评审标准的程度，折算为综合得分分值，依据每个磋商供应商的综合得分由高到低，依次</w:t>
      </w:r>
      <w:r w:rsidRPr="008D4E2E">
        <w:rPr>
          <w:rFonts w:ascii="宋体" w:eastAsia="宋体" w:hAnsi="宋体" w:cs="宋体" w:hint="eastAsia"/>
          <w:color w:val="000000" w:themeColor="text1"/>
          <w:sz w:val="24"/>
        </w:rPr>
        <w:lastRenderedPageBreak/>
        <w:t>确定排名顺序推荐2名供应商为成交候选供应商。</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2.评审分值分配(满分100分)</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2.1商务标</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2.2技术标</w:t>
      </w:r>
    </w:p>
    <w:p w:rsidR="00D331D0" w:rsidRPr="008D4E2E" w:rsidRDefault="00364F85">
      <w:pPr>
        <w:numPr>
          <w:ilvl w:val="0"/>
          <w:numId w:val="4"/>
        </w:num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评标程序</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3.1初步评审标准</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评审委员会依据下列标准对响应文件进行初步评审，审查结论分为“合格”与“不合格”。审查不合格的投标文件，否决其投标，投标文件不再进行后续评审。</w:t>
      </w:r>
    </w:p>
    <w:tbl>
      <w:tblPr>
        <w:tblW w:w="0" w:type="auto"/>
        <w:tblInd w:w="-7"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394"/>
        <w:gridCol w:w="3253"/>
        <w:gridCol w:w="4647"/>
      </w:tblGrid>
      <w:tr w:rsidR="008D4E2E" w:rsidRPr="008D4E2E">
        <w:tc>
          <w:tcPr>
            <w:tcW w:w="4647" w:type="dxa"/>
            <w:gridSpan w:val="2"/>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评审内容</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审查标准</w:t>
            </w:r>
          </w:p>
        </w:tc>
      </w:tr>
      <w:tr w:rsidR="008D4E2E" w:rsidRPr="008D4E2E">
        <w:tc>
          <w:tcPr>
            <w:tcW w:w="1394" w:type="dxa"/>
            <w:vMerge w:val="restart"/>
            <w:tcBorders>
              <w:left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资格评审</w:t>
            </w: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营业执照</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具备合法有效营业执照</w:t>
            </w:r>
          </w:p>
        </w:tc>
      </w:tr>
      <w:tr w:rsidR="008D4E2E" w:rsidRPr="008D4E2E">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安全生产许可证</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具备合法有效安全生产许可证</w:t>
            </w:r>
          </w:p>
        </w:tc>
      </w:tr>
      <w:tr w:rsidR="008D4E2E" w:rsidRPr="008D4E2E">
        <w:trPr>
          <w:trHeight w:val="90"/>
        </w:trPr>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企业资质等级</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符合采购文件要求</w:t>
            </w:r>
          </w:p>
        </w:tc>
      </w:tr>
      <w:tr w:rsidR="008D4E2E" w:rsidRPr="008D4E2E">
        <w:trPr>
          <w:trHeight w:val="304"/>
        </w:trPr>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项目负责人资格</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符合采购文件要求</w:t>
            </w:r>
          </w:p>
        </w:tc>
      </w:tr>
      <w:tr w:rsidR="008D4E2E" w:rsidRPr="008D4E2E">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投标联合体</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符合法律法规和采购文件要求（允许联合体投标的项目）</w:t>
            </w:r>
          </w:p>
        </w:tc>
      </w:tr>
      <w:tr w:rsidR="008D4E2E" w:rsidRPr="008D4E2E">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法定代表人或授权代表资格</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符合采购文件要求</w:t>
            </w:r>
          </w:p>
        </w:tc>
      </w:tr>
      <w:tr w:rsidR="008D4E2E" w:rsidRPr="008D4E2E">
        <w:trPr>
          <w:trHeight w:val="286"/>
        </w:trPr>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right w:val="single" w:sz="4"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不良行为记录</w:t>
            </w:r>
          </w:p>
        </w:tc>
        <w:tc>
          <w:tcPr>
            <w:tcW w:w="4647" w:type="dxa"/>
            <w:tcBorders>
              <w:top w:val="single" w:sz="4" w:space="0" w:color="auto"/>
              <w:left w:val="single" w:sz="4" w:space="0" w:color="auto"/>
              <w:bottom w:val="single" w:sz="4" w:space="0" w:color="auto"/>
              <w:right w:val="single" w:sz="4"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符合采购文件规定</w:t>
            </w:r>
          </w:p>
        </w:tc>
      </w:tr>
      <w:tr w:rsidR="008D4E2E" w:rsidRPr="008D4E2E">
        <w:trPr>
          <w:trHeight w:val="285"/>
        </w:trPr>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right w:val="single" w:sz="4"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其他</w:t>
            </w:r>
          </w:p>
        </w:tc>
        <w:tc>
          <w:tcPr>
            <w:tcW w:w="4647" w:type="dxa"/>
            <w:tcBorders>
              <w:top w:val="single" w:sz="4" w:space="0" w:color="auto"/>
              <w:left w:val="single" w:sz="4" w:space="0" w:color="auto"/>
              <w:bottom w:val="single" w:sz="4" w:space="0" w:color="auto"/>
              <w:right w:val="single" w:sz="4"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与营业执照、资质证书、安全生产许可证一致</w:t>
            </w:r>
          </w:p>
        </w:tc>
      </w:tr>
      <w:tr w:rsidR="008D4E2E" w:rsidRPr="008D4E2E">
        <w:tc>
          <w:tcPr>
            <w:tcW w:w="1394" w:type="dxa"/>
            <w:vMerge w:val="restart"/>
            <w:tcBorders>
              <w:top w:val="single" w:sz="6" w:space="0" w:color="auto"/>
              <w:left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符合性评审</w:t>
            </w: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供应商名称</w:t>
            </w:r>
          </w:p>
        </w:tc>
        <w:tc>
          <w:tcPr>
            <w:tcW w:w="4647" w:type="dxa"/>
            <w:tcBorders>
              <w:top w:val="single" w:sz="4"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按采购文件要求加盖公章，且有法定代表人或授权代表签字</w:t>
            </w:r>
          </w:p>
        </w:tc>
      </w:tr>
      <w:tr w:rsidR="008D4E2E" w:rsidRPr="008D4E2E">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响应文件签署</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符合采购文件要求</w:t>
            </w:r>
          </w:p>
        </w:tc>
      </w:tr>
      <w:tr w:rsidR="008D4E2E" w:rsidRPr="008D4E2E">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响应文件格式</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符合采购文件要求</w:t>
            </w:r>
          </w:p>
        </w:tc>
      </w:tr>
      <w:tr w:rsidR="008D4E2E" w:rsidRPr="008D4E2E">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报价唯一</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只能有一个有效报价</w:t>
            </w:r>
          </w:p>
        </w:tc>
      </w:tr>
      <w:tr w:rsidR="008D4E2E" w:rsidRPr="008D4E2E">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投标有效期</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符合采购文件要求</w:t>
            </w:r>
          </w:p>
        </w:tc>
      </w:tr>
      <w:tr w:rsidR="008D4E2E" w:rsidRPr="008D4E2E">
        <w:tc>
          <w:tcPr>
            <w:tcW w:w="1394" w:type="dxa"/>
            <w:vMerge/>
            <w:tcBorders>
              <w:left w:val="single" w:sz="6" w:space="0" w:color="auto"/>
              <w:right w:val="single"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c>
          <w:tcPr>
            <w:tcW w:w="3253"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工期、质量、技术规格等</w:t>
            </w:r>
          </w:p>
        </w:tc>
        <w:tc>
          <w:tcPr>
            <w:tcW w:w="464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符合采购文件要求</w:t>
            </w:r>
          </w:p>
        </w:tc>
      </w:tr>
    </w:tbl>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磋商小组对通过初步评审的响应文件进行评估，确定与各供应商磋商的具体内容。</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围绕磋商要点，磋商小组所有成员集中与单一供应商分别进行磋商。</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磋商过程中，磋商小组可以根据竞争性磋商文件和招标要求以及合同草案条款，但不得变动竞争性磋商文件中的其他内容。实质性变动的内容，须经采购人代表确认，并以书面形式同时通知所有参加磋商的供应商。该变动是竞争性磋商文件的有效组成部分。</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磋商供应商按照竞争性磋商文件的变动情况和磋商小组的要求，在规定的时间内以书面形式作出响应，并由其法定代表人或授权代表签字或者加盖公章。未按要</w:t>
      </w:r>
      <w:r w:rsidRPr="008D4E2E">
        <w:rPr>
          <w:rFonts w:ascii="宋体" w:eastAsia="宋体" w:hAnsi="宋体" w:cs="宋体" w:hint="eastAsia"/>
          <w:color w:val="000000" w:themeColor="text1"/>
          <w:sz w:val="24"/>
        </w:rPr>
        <w:lastRenderedPageBreak/>
        <w:t>求作出响应的响应文件，将视为无效响应。</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 xml:space="preserve">  磋商结束后，磋商小组将要求实质性响应竞争性磋商文件的磋商供应商在规定时间内提交最后报价。在规定的时间内，没有提交最后报价的磋商供应商，视为退出本次招标活动。未实质性响应的磋商供应商将不再进行最后报价。已提交响应文件的供应商，在提交最后报价之前，可以根据磋商情况退出磋商。</w:t>
      </w:r>
    </w:p>
    <w:p w:rsidR="00D331D0" w:rsidRPr="008D4E2E" w:rsidRDefault="00364F85">
      <w:pPr>
        <w:spacing w:line="288" w:lineRule="auto"/>
        <w:ind w:firstLineChars="200" w:firstLine="480"/>
        <w:rPr>
          <w:rFonts w:ascii="仿宋" w:eastAsia="仿宋" w:hAnsi="仿宋" w:cs="仿宋"/>
          <w:color w:val="000000" w:themeColor="text1"/>
          <w:sz w:val="24"/>
        </w:rPr>
      </w:pPr>
      <w:r w:rsidRPr="008D4E2E">
        <w:rPr>
          <w:rFonts w:ascii="宋体" w:eastAsia="宋体" w:hAnsi="宋体" w:cs="宋体" w:hint="eastAsia"/>
          <w:color w:val="000000" w:themeColor="text1"/>
          <w:sz w:val="24"/>
        </w:rPr>
        <w:t>经磋商确定最终采购需求和提交最后报价的供应商后，由磋商小组结合本竞争性磋商文件规定的政府采购政策进行的价格扣除及综合评分法对提交最后报价的供应商的响应文件和最后报价进行综合评分。</w:t>
      </w:r>
    </w:p>
    <w:p w:rsidR="00D331D0" w:rsidRPr="008D4E2E" w:rsidRDefault="00D331D0">
      <w:pPr>
        <w:spacing w:line="288" w:lineRule="auto"/>
        <w:rPr>
          <w:rFonts w:ascii="宋体" w:eastAsia="宋体" w:hAnsi="宋体" w:cs="宋体"/>
          <w:color w:val="000000" w:themeColor="text1"/>
          <w:sz w:val="24"/>
        </w:rPr>
      </w:pP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3.2商务标评审内容及标准</w:t>
      </w:r>
    </w:p>
    <w:tbl>
      <w:tblPr>
        <w:tblW w:w="8931"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134"/>
        <w:gridCol w:w="709"/>
        <w:gridCol w:w="7088"/>
      </w:tblGrid>
      <w:tr w:rsidR="008D4E2E" w:rsidRPr="008D4E2E">
        <w:tc>
          <w:tcPr>
            <w:tcW w:w="1134"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评审项目</w:t>
            </w:r>
          </w:p>
        </w:tc>
        <w:tc>
          <w:tcPr>
            <w:tcW w:w="709"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分值</w:t>
            </w:r>
          </w:p>
        </w:tc>
        <w:tc>
          <w:tcPr>
            <w:tcW w:w="7088"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依据</w:t>
            </w:r>
          </w:p>
        </w:tc>
      </w:tr>
      <w:tr w:rsidR="008D4E2E" w:rsidRPr="008D4E2E">
        <w:tc>
          <w:tcPr>
            <w:tcW w:w="1134"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投标报价</w:t>
            </w:r>
          </w:p>
        </w:tc>
        <w:tc>
          <w:tcPr>
            <w:tcW w:w="709"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30分</w:t>
            </w:r>
          </w:p>
        </w:tc>
        <w:tc>
          <w:tcPr>
            <w:tcW w:w="7088"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 xml:space="preserve">本项评审步骤： </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1、磋商基准价：价格分统一采用低价优先法，即满足磋商文件要求且价格最低的最后报价为评标基准价。</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2、投标报价得分计算：评标价为评标基准价的得满分30分。其他供应商的投标报价得分统一按下列公式计算：投标报价得分=（磋商基准价/最后磋商报价）* 30；（保留小数点后两位，第三位四舍五入）</w:t>
            </w:r>
          </w:p>
        </w:tc>
      </w:tr>
      <w:tr w:rsidR="008D4E2E" w:rsidRPr="008D4E2E">
        <w:tc>
          <w:tcPr>
            <w:tcW w:w="1134"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供应商类似业绩</w:t>
            </w:r>
          </w:p>
        </w:tc>
        <w:tc>
          <w:tcPr>
            <w:tcW w:w="709"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15分</w:t>
            </w:r>
          </w:p>
        </w:tc>
        <w:tc>
          <w:tcPr>
            <w:tcW w:w="7088"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自2020年1月1日以来（以合同签订时间为准），投标人每提供1个与本项目类似业绩合同的得3分，满分15分。</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注：类似业绩指体育场亮化改造或体育场建设改造（含亮化工程）项目，投标文件中须提供业绩合同，签订时间以业绩合同为准，复印件或扫描件应能 辨识买卖双方公章、签订时间；如业绩合同不能体现以上全部内容，可提供业绩合同甲方加盖公章的证明复印件或扫描件。首选中标候选人的业绩将会公示，接受监督。</w:t>
            </w:r>
          </w:p>
        </w:tc>
      </w:tr>
      <w:tr w:rsidR="008D4E2E" w:rsidRPr="008D4E2E">
        <w:tc>
          <w:tcPr>
            <w:tcW w:w="1134"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项目负责人类似业绩</w:t>
            </w:r>
          </w:p>
        </w:tc>
        <w:tc>
          <w:tcPr>
            <w:tcW w:w="709"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6分</w:t>
            </w:r>
          </w:p>
        </w:tc>
        <w:tc>
          <w:tcPr>
            <w:tcW w:w="7088" w:type="dxa"/>
            <w:tcBorders>
              <w:top w:val="outset" w:sz="6" w:space="0" w:color="auto"/>
              <w:left w:val="outset" w:sz="6" w:space="0" w:color="auto"/>
              <w:bottom w:val="outset" w:sz="6" w:space="0" w:color="auto"/>
              <w:right w:val="outset"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2020年1月1日以来（以合同签订时间为准），拟派项目经理以项目经理身份承担过1个与本项目类似业绩合同的得2分，满分6分。项目经理业绩与供应商业绩可重复计分。拟派项目经理需要在业绩中担任项目经理职位。</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注：类似业绩指体育场亮化改造或体育场建设改造（含亮化工程）项目，投标文件中须提供业绩合同，签订时间以业绩合同为准，复印件或扫描件应能 辨识买卖双方公章、签订时间；如业绩合同不能体现以上全部内容，可提供业绩合同甲方加盖公章的证明复印件或扫描件。首选中标候选人的业绩将会公示，接受监督。</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备注：①项目经理名称以合同列明的项目经理名称为准；</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②合同应体现签订时间、项目经理名称、合同内容等关键信息，如业绩合同不能体现以上全部内容，可提供业绩合同甲方加盖公章的</w:t>
            </w:r>
            <w:r w:rsidRPr="008D4E2E">
              <w:rPr>
                <w:rFonts w:ascii="宋体" w:eastAsia="宋体" w:hAnsi="宋体" w:cs="宋体" w:hint="eastAsia"/>
                <w:color w:val="000000" w:themeColor="text1"/>
                <w:sz w:val="24"/>
              </w:rPr>
              <w:lastRenderedPageBreak/>
              <w:t>证明复印件或扫描件。 否则，不得分。</w:t>
            </w:r>
          </w:p>
        </w:tc>
      </w:tr>
      <w:tr w:rsidR="008D4E2E" w:rsidRPr="008D4E2E">
        <w:trPr>
          <w:trHeight w:val="257"/>
        </w:trPr>
        <w:tc>
          <w:tcPr>
            <w:tcW w:w="1134" w:type="dxa"/>
            <w:tcBorders>
              <w:top w:val="outset" w:sz="6" w:space="0" w:color="auto"/>
              <w:left w:val="outset" w:sz="6" w:space="0" w:color="auto"/>
              <w:bottom w:val="single" w:sz="4" w:space="0" w:color="auto"/>
              <w:right w:val="outset" w:sz="6" w:space="0" w:color="auto"/>
            </w:tcBorders>
            <w:vAlign w:val="center"/>
          </w:tcPr>
          <w:p w:rsidR="00D331D0" w:rsidRPr="008D4E2E" w:rsidRDefault="00D331D0">
            <w:pPr>
              <w:spacing w:line="288" w:lineRule="auto"/>
              <w:jc w:val="left"/>
              <w:rPr>
                <w:rFonts w:ascii="宋体" w:eastAsia="宋体" w:hAnsi="宋体" w:cs="宋体"/>
                <w:color w:val="000000" w:themeColor="text1"/>
                <w:sz w:val="24"/>
              </w:rPr>
            </w:pPr>
          </w:p>
        </w:tc>
        <w:tc>
          <w:tcPr>
            <w:tcW w:w="709" w:type="dxa"/>
            <w:tcBorders>
              <w:top w:val="outset" w:sz="6" w:space="0" w:color="auto"/>
              <w:left w:val="outset" w:sz="6" w:space="0" w:color="auto"/>
              <w:bottom w:val="single" w:sz="4" w:space="0" w:color="auto"/>
              <w:right w:val="outset" w:sz="6" w:space="0" w:color="auto"/>
            </w:tcBorders>
            <w:vAlign w:val="center"/>
          </w:tcPr>
          <w:p w:rsidR="00D331D0" w:rsidRPr="008D4E2E" w:rsidRDefault="00D331D0">
            <w:pPr>
              <w:spacing w:line="288" w:lineRule="auto"/>
              <w:jc w:val="center"/>
              <w:rPr>
                <w:rFonts w:ascii="宋体" w:eastAsia="宋体" w:hAnsi="宋体" w:cs="宋体"/>
                <w:color w:val="000000" w:themeColor="text1"/>
                <w:sz w:val="24"/>
              </w:rPr>
            </w:pPr>
          </w:p>
        </w:tc>
        <w:tc>
          <w:tcPr>
            <w:tcW w:w="7088" w:type="dxa"/>
            <w:tcBorders>
              <w:top w:val="outset" w:sz="6" w:space="0" w:color="auto"/>
              <w:left w:val="outset" w:sz="6" w:space="0" w:color="auto"/>
              <w:bottom w:val="single" w:sz="4" w:space="0" w:color="auto"/>
              <w:right w:val="outset" w:sz="6" w:space="0" w:color="auto"/>
            </w:tcBorders>
            <w:vAlign w:val="center"/>
          </w:tcPr>
          <w:p w:rsidR="00D331D0" w:rsidRPr="008D4E2E" w:rsidRDefault="00D331D0">
            <w:pPr>
              <w:spacing w:line="288" w:lineRule="auto"/>
              <w:rPr>
                <w:rFonts w:ascii="宋体" w:eastAsia="宋体" w:hAnsi="宋体" w:cs="宋体"/>
                <w:color w:val="000000" w:themeColor="text1"/>
                <w:sz w:val="24"/>
              </w:rPr>
            </w:pPr>
          </w:p>
        </w:tc>
      </w:tr>
      <w:tr w:rsidR="008D4E2E" w:rsidRPr="008D4E2E">
        <w:trPr>
          <w:trHeight w:val="3185"/>
        </w:trPr>
        <w:tc>
          <w:tcPr>
            <w:tcW w:w="1134" w:type="dxa"/>
            <w:tcBorders>
              <w:top w:val="single" w:sz="4" w:space="0" w:color="auto"/>
              <w:left w:val="outset" w:sz="6" w:space="0" w:color="auto"/>
              <w:bottom w:val="outset" w:sz="6" w:space="0" w:color="auto"/>
              <w:right w:val="outset"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项目组人员构成</w:t>
            </w:r>
          </w:p>
        </w:tc>
        <w:tc>
          <w:tcPr>
            <w:tcW w:w="709" w:type="dxa"/>
            <w:tcBorders>
              <w:top w:val="single" w:sz="4" w:space="0" w:color="auto"/>
              <w:left w:val="outset" w:sz="6" w:space="0" w:color="auto"/>
              <w:bottom w:val="outset" w:sz="6" w:space="0" w:color="auto"/>
              <w:right w:val="outset" w:sz="6" w:space="0" w:color="auto"/>
            </w:tcBorders>
            <w:vAlign w:val="center"/>
          </w:tcPr>
          <w:p w:rsidR="00D331D0" w:rsidRPr="008D4E2E" w:rsidRDefault="00364F85">
            <w:pPr>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10分</w:t>
            </w:r>
          </w:p>
        </w:tc>
        <w:tc>
          <w:tcPr>
            <w:tcW w:w="7088" w:type="dxa"/>
            <w:tcBorders>
              <w:top w:val="single" w:sz="4" w:space="0" w:color="auto"/>
              <w:left w:val="outset" w:sz="6" w:space="0" w:color="auto"/>
              <w:bottom w:val="outset" w:sz="6" w:space="0" w:color="auto"/>
              <w:right w:val="outset"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1.拟派项目经理具有市政工程相关专业工程师职称的得 2分，具有市政工程相关专业高级工程师职称的得3分。</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2.拟派项目技术负责人具有市政工程相关专业工程师职称的得 2 分，具有市政工程相关专业高级工程师职称的得3分。</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3.拟为本项目配备齐全施工员、安全员、质量员、造价员或造价工程师的，得 4分，未配备齐全的不得分。</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注：响应文件中须提供人员名单，不可兼任，所有人员需提供相关职称证书或资格证书或从业证书扫描件证明材料，项目负责人和技术负责人要求提供近半年内连续三个月社保证明。</w:t>
            </w:r>
          </w:p>
        </w:tc>
      </w:tr>
    </w:tbl>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3.2.1投标报价分项报价评审</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评审委员会进行分项报价评审时，投标报价存在下列情形之一的，应当否决其投标：</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（1）税率不按采购文件规定数值计取的；</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（2）不可竞争费不按采购文件规定数值计取的；</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（3）暂列金额、专业工程暂估价不按采购文件规定标准计取的；</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（4）修改分部分项工程量清单项目或数量的；</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（5）人工单价低于相关规定的；</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（6）评审委员会认定为重大偏差的其他情形。</w:t>
      </w:r>
    </w:p>
    <w:p w:rsidR="00D331D0" w:rsidRPr="008D4E2E" w:rsidRDefault="00364F85">
      <w:pPr>
        <w:pStyle w:val="4"/>
        <w:spacing w:line="288" w:lineRule="auto"/>
        <w:ind w:leftChars="0" w:left="0"/>
        <w:jc w:val="left"/>
        <w:rPr>
          <w:rFonts w:ascii="宋体" w:eastAsia="宋体" w:hAnsi="宋体" w:cs="宋体"/>
          <w:color w:val="000000" w:themeColor="text1"/>
          <w:sz w:val="24"/>
        </w:rPr>
      </w:pPr>
      <w:r w:rsidRPr="008D4E2E">
        <w:rPr>
          <w:rFonts w:ascii="宋体" w:eastAsia="宋体" w:hAnsi="宋体" w:cs="宋体" w:hint="eastAsia"/>
          <w:color w:val="000000" w:themeColor="text1"/>
          <w:sz w:val="24"/>
        </w:rPr>
        <w:t>3.3技术标评审内容及标准</w:t>
      </w:r>
    </w:p>
    <w:tbl>
      <w:tblPr>
        <w:tblW w:w="9217" w:type="dxa"/>
        <w:tblInd w:w="-7"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574"/>
        <w:gridCol w:w="1276"/>
        <w:gridCol w:w="7367"/>
      </w:tblGrid>
      <w:tr w:rsidR="008D4E2E" w:rsidRPr="008D4E2E">
        <w:tc>
          <w:tcPr>
            <w:tcW w:w="574"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序号</w:t>
            </w:r>
          </w:p>
        </w:tc>
        <w:tc>
          <w:tcPr>
            <w:tcW w:w="1276"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审查内容</w:t>
            </w:r>
          </w:p>
        </w:tc>
        <w:tc>
          <w:tcPr>
            <w:tcW w:w="736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审查标准</w:t>
            </w:r>
          </w:p>
        </w:tc>
      </w:tr>
      <w:tr w:rsidR="008D4E2E" w:rsidRPr="008D4E2E">
        <w:tc>
          <w:tcPr>
            <w:tcW w:w="574"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1</w:t>
            </w:r>
          </w:p>
        </w:tc>
        <w:tc>
          <w:tcPr>
            <w:tcW w:w="1276"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left"/>
              <w:rPr>
                <w:rFonts w:ascii="宋体" w:eastAsia="宋体" w:hAnsi="宋体" w:cs="宋体"/>
                <w:color w:val="000000" w:themeColor="text1"/>
                <w:sz w:val="24"/>
              </w:rPr>
            </w:pPr>
            <w:r w:rsidRPr="008D4E2E">
              <w:rPr>
                <w:rFonts w:ascii="宋体" w:eastAsia="宋体" w:hAnsi="宋体" w:cs="宋体" w:hint="eastAsia"/>
                <w:color w:val="000000" w:themeColor="text1"/>
                <w:sz w:val="24"/>
              </w:rPr>
              <w:t>总体概述（满分3分）</w:t>
            </w:r>
          </w:p>
        </w:tc>
        <w:tc>
          <w:tcPr>
            <w:tcW w:w="736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针对项目实际情况，总体实施内容描述清晰、重点突出、工期、质量、安全、文明的标准与目标合理且有具体措施的，得3分；内容描述较为清晰、有一定重点的、工期、质量、安全、文明的标准与目标较为合理且有具体措施的，得2分；以上基本满足需求、有待完善的，得1分；差或未提供的不得分。</w:t>
            </w:r>
          </w:p>
        </w:tc>
      </w:tr>
      <w:tr w:rsidR="008D4E2E" w:rsidRPr="008D4E2E">
        <w:tc>
          <w:tcPr>
            <w:tcW w:w="574"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2</w:t>
            </w:r>
          </w:p>
        </w:tc>
        <w:tc>
          <w:tcPr>
            <w:tcW w:w="1276"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left"/>
              <w:rPr>
                <w:rFonts w:ascii="宋体" w:eastAsia="宋体" w:hAnsi="宋体" w:cs="宋体"/>
                <w:color w:val="000000" w:themeColor="text1"/>
                <w:sz w:val="24"/>
              </w:rPr>
            </w:pPr>
            <w:r w:rsidRPr="008D4E2E">
              <w:rPr>
                <w:rFonts w:ascii="宋体" w:eastAsia="宋体" w:hAnsi="宋体" w:cs="宋体" w:hint="eastAsia"/>
                <w:color w:val="000000" w:themeColor="text1"/>
                <w:sz w:val="24"/>
              </w:rPr>
              <w:t>施工进度计划和各阶段进度保证措施及承诺（满分5分）</w:t>
            </w:r>
          </w:p>
        </w:tc>
        <w:tc>
          <w:tcPr>
            <w:tcW w:w="736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关键线路选择合理、关键节点控制措施合理、各进度节点保证措施明确、横道图、网络图内容合理、完整的，得5分；关键线路选择较为合理、关键节点控制措施较为合理、各进度节点保证措施相对明确、横道图、网络图内容较为合理、完整的，得4分；关键线路选择基本合理、关键节点控制措施基本合理、各进度节点保证措施基本明确、横道图、网络图内容基本合理、完整的，得3分；以上基本满足需求、有待完善的，得2分；以上进度计划相关内容表述不满足需求，且部分内容描述不合理的，得1分；未提供的不得分。</w:t>
            </w:r>
          </w:p>
        </w:tc>
      </w:tr>
      <w:tr w:rsidR="008D4E2E" w:rsidRPr="008D4E2E">
        <w:tc>
          <w:tcPr>
            <w:tcW w:w="574"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3</w:t>
            </w:r>
          </w:p>
        </w:tc>
        <w:tc>
          <w:tcPr>
            <w:tcW w:w="1276"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left"/>
              <w:rPr>
                <w:rFonts w:ascii="宋体" w:eastAsia="宋体" w:hAnsi="宋体" w:cs="宋体"/>
                <w:color w:val="000000" w:themeColor="text1"/>
                <w:sz w:val="24"/>
              </w:rPr>
            </w:pPr>
            <w:r w:rsidRPr="008D4E2E">
              <w:rPr>
                <w:rFonts w:ascii="宋体" w:eastAsia="宋体" w:hAnsi="宋体" w:cs="宋体" w:hint="eastAsia"/>
                <w:color w:val="000000" w:themeColor="text1"/>
                <w:sz w:val="24"/>
              </w:rPr>
              <w:t>劳动力和材料投入计划</w:t>
            </w:r>
            <w:r w:rsidRPr="008D4E2E">
              <w:rPr>
                <w:rFonts w:ascii="宋体" w:eastAsia="宋体" w:hAnsi="宋体" w:cs="宋体" w:hint="eastAsia"/>
                <w:color w:val="000000" w:themeColor="text1"/>
                <w:sz w:val="24"/>
              </w:rPr>
              <w:lastRenderedPageBreak/>
              <w:t>及保证措施（满分3分）</w:t>
            </w:r>
          </w:p>
        </w:tc>
        <w:tc>
          <w:tcPr>
            <w:tcW w:w="736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lastRenderedPageBreak/>
              <w:t>投入计划与进度计划吻合，能完全满足施工进度、劳动力配备和材料调配投入计划衔接、安排合理、保证措施具体完善的，得3分；投入计划</w:t>
            </w:r>
            <w:r w:rsidRPr="008D4E2E">
              <w:rPr>
                <w:rFonts w:ascii="宋体" w:eastAsia="宋体" w:hAnsi="宋体" w:cs="宋体" w:hint="eastAsia"/>
                <w:color w:val="000000" w:themeColor="text1"/>
                <w:sz w:val="24"/>
              </w:rPr>
              <w:lastRenderedPageBreak/>
              <w:t>与进度计划较为吻合，能满足施工进度、劳动力配备和材料调配投入计划衔接、安排较为合理、保证措施较为具体完善的，得2分；投入计划与进度计划基本吻合，基本能完全满足施工进度、劳动力配备和材料调配投入计划衔接、安排基本合理、保证措施基本具体完善的，得1分；差或未提供的不得分。</w:t>
            </w:r>
          </w:p>
        </w:tc>
      </w:tr>
      <w:tr w:rsidR="008D4E2E" w:rsidRPr="008D4E2E">
        <w:tc>
          <w:tcPr>
            <w:tcW w:w="574"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lastRenderedPageBreak/>
              <w:t>4</w:t>
            </w:r>
          </w:p>
        </w:tc>
        <w:tc>
          <w:tcPr>
            <w:tcW w:w="1276"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left"/>
              <w:rPr>
                <w:rFonts w:ascii="宋体" w:eastAsia="宋体" w:hAnsi="宋体" w:cs="宋体"/>
                <w:color w:val="000000" w:themeColor="text1"/>
                <w:sz w:val="24"/>
              </w:rPr>
            </w:pPr>
            <w:r w:rsidRPr="008D4E2E">
              <w:rPr>
                <w:rFonts w:ascii="宋体" w:eastAsia="宋体" w:hAnsi="宋体" w:cs="宋体" w:hint="eastAsia"/>
                <w:color w:val="000000" w:themeColor="text1"/>
                <w:sz w:val="24"/>
              </w:rPr>
              <w:t>关键施工技术、工艺及工程项目实施的重点、难点和解决方案（满分5分）</w:t>
            </w:r>
          </w:p>
        </w:tc>
        <w:tc>
          <w:tcPr>
            <w:tcW w:w="736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对项目关键施工技术、工艺表述清晰、对工程项目实施重点、难点解决方案和优化方案合理的，得5分；对项目关键施工技术、工艺表述较为清晰、对工程项目实施重点、难点解决方案和优化方案较为合理的，得4分；对项目关键施工技术、工艺表述基本清晰、对工程项目实施重点、难点解决方案和优化方案基本合理的，得3分；对项目关键施工技术、工艺表述不够清晰、对工程项目实施重点、难点解决方案和优化方案不够合理的，得2分；以上内容表述较差的，得1分；未提供的不得分。</w:t>
            </w:r>
          </w:p>
        </w:tc>
      </w:tr>
      <w:tr w:rsidR="008D4E2E" w:rsidRPr="008D4E2E">
        <w:tc>
          <w:tcPr>
            <w:tcW w:w="574"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5</w:t>
            </w:r>
          </w:p>
        </w:tc>
        <w:tc>
          <w:tcPr>
            <w:tcW w:w="1276"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left"/>
              <w:rPr>
                <w:rFonts w:ascii="宋体" w:eastAsia="宋体" w:hAnsi="宋体" w:cs="宋体"/>
                <w:color w:val="000000" w:themeColor="text1"/>
                <w:sz w:val="24"/>
              </w:rPr>
            </w:pPr>
            <w:r w:rsidRPr="008D4E2E">
              <w:rPr>
                <w:rFonts w:ascii="宋体" w:eastAsia="宋体" w:hAnsi="宋体" w:cs="宋体" w:hint="eastAsia"/>
                <w:color w:val="000000" w:themeColor="text1"/>
                <w:sz w:val="24"/>
              </w:rPr>
              <w:t>安全文明措施（满分4分）</w:t>
            </w:r>
          </w:p>
        </w:tc>
        <w:tc>
          <w:tcPr>
            <w:tcW w:w="736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有相应的安全目标和保证措施，措施完整、可行的，得4分；措施较为完整、可行的，得3分；措施基本完整、可行的，得2分；措施不够完整、可行的，得1分；措施完整、可行性较差或未提供的不得分。</w:t>
            </w:r>
          </w:p>
        </w:tc>
      </w:tr>
      <w:tr w:rsidR="008D4E2E" w:rsidRPr="008D4E2E">
        <w:tc>
          <w:tcPr>
            <w:tcW w:w="574"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6</w:t>
            </w:r>
          </w:p>
        </w:tc>
        <w:tc>
          <w:tcPr>
            <w:tcW w:w="1276"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left"/>
              <w:rPr>
                <w:rFonts w:ascii="宋体" w:eastAsia="宋体" w:hAnsi="宋体" w:cs="宋体"/>
                <w:color w:val="000000" w:themeColor="text1"/>
                <w:sz w:val="24"/>
              </w:rPr>
            </w:pPr>
            <w:r w:rsidRPr="008D4E2E">
              <w:rPr>
                <w:rFonts w:ascii="宋体" w:eastAsia="宋体" w:hAnsi="宋体" w:cs="宋体" w:hint="eastAsia"/>
                <w:color w:val="000000" w:themeColor="text1"/>
                <w:sz w:val="24"/>
              </w:rPr>
              <w:t>质量承诺与保证（满分5分）</w:t>
            </w:r>
          </w:p>
        </w:tc>
        <w:tc>
          <w:tcPr>
            <w:tcW w:w="7367"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质量承诺明确、相应质量保证措施完整的，得5分；质量承诺较明确、相应质量保证措施较完整的，得4分；质量承诺基本明确、相应质量保证措施基本完整的，得3分；质量承诺不够明确或相应质量保证措施不够完整的，得2分；质量保证措施较差的，得1分；未提供的不得分。</w:t>
            </w:r>
          </w:p>
        </w:tc>
      </w:tr>
      <w:tr w:rsidR="008D4E2E" w:rsidRPr="008D4E2E">
        <w:tc>
          <w:tcPr>
            <w:tcW w:w="574"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7</w:t>
            </w:r>
          </w:p>
        </w:tc>
        <w:tc>
          <w:tcPr>
            <w:tcW w:w="1276"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left"/>
              <w:rPr>
                <w:rFonts w:ascii="宋体" w:eastAsia="宋体" w:hAnsi="宋体" w:cs="宋体"/>
                <w:color w:val="000000" w:themeColor="text1"/>
                <w:sz w:val="24"/>
              </w:rPr>
            </w:pPr>
            <w:r w:rsidRPr="008D4E2E">
              <w:rPr>
                <w:rFonts w:ascii="宋体" w:eastAsia="宋体" w:hAnsi="宋体" w:cs="宋体" w:hint="eastAsia"/>
                <w:color w:val="000000" w:themeColor="text1"/>
                <w:sz w:val="24"/>
              </w:rPr>
              <w:t>临时设施布置（满分5分）</w:t>
            </w:r>
          </w:p>
        </w:tc>
        <w:tc>
          <w:tcPr>
            <w:tcW w:w="7367" w:type="dxa"/>
            <w:tcBorders>
              <w:top w:val="single" w:sz="6" w:space="0" w:color="auto"/>
              <w:left w:val="single" w:sz="6" w:space="0" w:color="auto"/>
              <w:bottom w:val="single" w:sz="6" w:space="0" w:color="auto"/>
              <w:right w:val="single" w:sz="6" w:space="0" w:color="auto"/>
            </w:tcBorders>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总体布置合理，各要素配置非常完善，满足施工需要程度高，临时设施布置及保证措施非常全面的，得5分；总体布置较合理，各要素配置较完善，能满足施工需要，临时设施布置及保证措施较全面的，得4分；总体布置一般，有相关各要素配置，基本满足施工需要，有一定临时设施布置及保证措施的，得3分；总体布置一般，相关各要素配置需完善，满足施工需要程度低，临时设施布置及保证措施需完善的，得2分；总体布置不合理，相关各要素配置不齐，不满足施工需要程度，临时设施布置及保证措施不完善的，得1分；未提供不得分。</w:t>
            </w:r>
          </w:p>
        </w:tc>
      </w:tr>
      <w:tr w:rsidR="008D4E2E" w:rsidRPr="008D4E2E">
        <w:tc>
          <w:tcPr>
            <w:tcW w:w="574"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center"/>
              <w:rPr>
                <w:rFonts w:ascii="宋体" w:eastAsia="宋体" w:hAnsi="宋体" w:cs="宋体"/>
                <w:color w:val="000000" w:themeColor="text1"/>
                <w:sz w:val="24"/>
              </w:rPr>
            </w:pPr>
            <w:r w:rsidRPr="008D4E2E">
              <w:rPr>
                <w:rFonts w:ascii="宋体" w:eastAsia="宋体" w:hAnsi="宋体" w:cs="宋体" w:hint="eastAsia"/>
                <w:color w:val="000000" w:themeColor="text1"/>
                <w:sz w:val="24"/>
              </w:rPr>
              <w:t>8</w:t>
            </w:r>
          </w:p>
        </w:tc>
        <w:tc>
          <w:tcPr>
            <w:tcW w:w="1276" w:type="dxa"/>
            <w:tcBorders>
              <w:top w:val="single" w:sz="6" w:space="0" w:color="auto"/>
              <w:left w:val="single" w:sz="6" w:space="0" w:color="auto"/>
              <w:bottom w:val="single" w:sz="6" w:space="0" w:color="auto"/>
              <w:right w:val="single" w:sz="6" w:space="0" w:color="auto"/>
            </w:tcBorders>
            <w:vAlign w:val="center"/>
          </w:tcPr>
          <w:p w:rsidR="00D331D0" w:rsidRPr="008D4E2E" w:rsidRDefault="00364F85">
            <w:pPr>
              <w:widowControl/>
              <w:spacing w:line="288" w:lineRule="auto"/>
              <w:jc w:val="left"/>
              <w:rPr>
                <w:rFonts w:ascii="宋体" w:eastAsia="宋体" w:hAnsi="宋体" w:cs="宋体"/>
                <w:color w:val="000000" w:themeColor="text1"/>
                <w:sz w:val="24"/>
              </w:rPr>
            </w:pPr>
            <w:r w:rsidRPr="008D4E2E">
              <w:rPr>
                <w:rFonts w:ascii="宋体" w:eastAsia="宋体" w:hAnsi="宋体" w:cs="宋体" w:hint="eastAsia"/>
                <w:color w:val="000000" w:themeColor="text1"/>
                <w:sz w:val="24"/>
              </w:rPr>
              <w:t>机械设备和检实验仪器设备投入计划及保证措施（满分5分）</w:t>
            </w:r>
          </w:p>
        </w:tc>
        <w:tc>
          <w:tcPr>
            <w:tcW w:w="7367" w:type="dxa"/>
            <w:tcBorders>
              <w:top w:val="single" w:sz="6" w:space="0" w:color="auto"/>
              <w:left w:val="single" w:sz="6" w:space="0" w:color="auto"/>
              <w:bottom w:val="single" w:sz="6" w:space="0" w:color="auto"/>
              <w:right w:val="single" w:sz="6" w:space="0" w:color="auto"/>
            </w:tcBorders>
          </w:tcPr>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投入计划与进度计划呼应，针对施工需要，机械设备和检实验仪器设备投入全面与进度计划衔接程度高、安排非常合理，保证措施全面的，得5分；投入计划与进度计划呼应，针对施工需要，机械设备和检实验仪器设备投入较全面与进度计划衔接程度较高、安排合理，有保证措施的，得4分；投入计划与进度计划呼应，针对施工需要，机械设备和检实验仪器设备一般、安排合理性及与进度衔接程度一般的，得3分；投入计划与进度计划未呼应，针对施工需要，有机械设备和检实验仪器设备，但与进度计划衔接程度不高、安排合理性低的，得2分；投入计划与进度计划不能衔接，安排不合理的，得1分；未提供不得分。</w:t>
            </w:r>
          </w:p>
        </w:tc>
      </w:tr>
    </w:tbl>
    <w:p w:rsidR="00D331D0" w:rsidRPr="008D4E2E" w:rsidRDefault="00D331D0">
      <w:pPr>
        <w:pStyle w:val="aa"/>
        <w:spacing w:line="288" w:lineRule="auto"/>
        <w:rPr>
          <w:rFonts w:ascii="宋体" w:eastAsia="宋体" w:hAnsi="宋体" w:cs="宋体"/>
          <w:color w:val="000000" w:themeColor="text1"/>
          <w:sz w:val="24"/>
        </w:rPr>
      </w:pPr>
    </w:p>
    <w:p w:rsidR="00D331D0" w:rsidRPr="008D4E2E" w:rsidRDefault="00364F85">
      <w:pPr>
        <w:pStyle w:val="a3"/>
        <w:spacing w:line="288" w:lineRule="auto"/>
        <w:ind w:firstLine="0"/>
        <w:jc w:val="center"/>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lastRenderedPageBreak/>
        <w:t>外省等同于“黄山杯”的具体奖项名称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67"/>
        <w:gridCol w:w="1935"/>
        <w:gridCol w:w="2583"/>
      </w:tblGrid>
      <w:tr w:rsidR="008D4E2E" w:rsidRPr="008D4E2E">
        <w:tc>
          <w:tcPr>
            <w:tcW w:w="1951"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北京：长城杯</w:t>
            </w:r>
          </w:p>
        </w:tc>
        <w:tc>
          <w:tcPr>
            <w:tcW w:w="2567"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安徽：黄山杯</w:t>
            </w:r>
          </w:p>
        </w:tc>
        <w:tc>
          <w:tcPr>
            <w:tcW w:w="1935"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上海：白玉兰杯</w:t>
            </w:r>
          </w:p>
        </w:tc>
        <w:tc>
          <w:tcPr>
            <w:tcW w:w="2583"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浙江：钱江杯</w:t>
            </w:r>
          </w:p>
        </w:tc>
      </w:tr>
      <w:tr w:rsidR="008D4E2E" w:rsidRPr="008D4E2E">
        <w:tc>
          <w:tcPr>
            <w:tcW w:w="1951"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天津：海河杯</w:t>
            </w:r>
          </w:p>
        </w:tc>
        <w:tc>
          <w:tcPr>
            <w:tcW w:w="2567"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江西：杜鹃花杯</w:t>
            </w:r>
          </w:p>
        </w:tc>
        <w:tc>
          <w:tcPr>
            <w:tcW w:w="1935"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重庆：巴渝杯</w:t>
            </w:r>
          </w:p>
        </w:tc>
        <w:tc>
          <w:tcPr>
            <w:tcW w:w="2583"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湖北：楚天杯</w:t>
            </w:r>
          </w:p>
        </w:tc>
      </w:tr>
      <w:tr w:rsidR="008D4E2E" w:rsidRPr="008D4E2E">
        <w:tc>
          <w:tcPr>
            <w:tcW w:w="1951"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黑龙江：龙江杯</w:t>
            </w:r>
          </w:p>
        </w:tc>
        <w:tc>
          <w:tcPr>
            <w:tcW w:w="2567"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湖南：芙蓉奖</w:t>
            </w:r>
          </w:p>
        </w:tc>
        <w:tc>
          <w:tcPr>
            <w:tcW w:w="1935"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吉林：长白山杯</w:t>
            </w:r>
          </w:p>
        </w:tc>
        <w:tc>
          <w:tcPr>
            <w:tcW w:w="2583"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四川：天府杯</w:t>
            </w:r>
          </w:p>
        </w:tc>
      </w:tr>
      <w:tr w:rsidR="008D4E2E" w:rsidRPr="008D4E2E">
        <w:tc>
          <w:tcPr>
            <w:tcW w:w="1951"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辽宁：世纪杯</w:t>
            </w:r>
          </w:p>
        </w:tc>
        <w:tc>
          <w:tcPr>
            <w:tcW w:w="2567"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云南：云南省优质工程</w:t>
            </w:r>
          </w:p>
        </w:tc>
        <w:tc>
          <w:tcPr>
            <w:tcW w:w="1935"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内蒙古：草原杯</w:t>
            </w:r>
          </w:p>
        </w:tc>
        <w:tc>
          <w:tcPr>
            <w:tcW w:w="2583"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广西：广西优质工程奖</w:t>
            </w:r>
          </w:p>
        </w:tc>
      </w:tr>
      <w:tr w:rsidR="008D4E2E" w:rsidRPr="008D4E2E">
        <w:tc>
          <w:tcPr>
            <w:tcW w:w="1951"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山西：汾水杯</w:t>
            </w:r>
          </w:p>
        </w:tc>
        <w:tc>
          <w:tcPr>
            <w:tcW w:w="2567"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广东：金匠奖</w:t>
            </w:r>
          </w:p>
        </w:tc>
        <w:tc>
          <w:tcPr>
            <w:tcW w:w="1935"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山东：泰山杯</w:t>
            </w:r>
          </w:p>
        </w:tc>
        <w:tc>
          <w:tcPr>
            <w:tcW w:w="2583"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贵州：黄果树杯</w:t>
            </w:r>
          </w:p>
        </w:tc>
      </w:tr>
      <w:tr w:rsidR="008D4E2E" w:rsidRPr="008D4E2E">
        <w:tc>
          <w:tcPr>
            <w:tcW w:w="1951"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陕西：长安杯</w:t>
            </w:r>
          </w:p>
        </w:tc>
        <w:tc>
          <w:tcPr>
            <w:tcW w:w="2567"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福建：闽江杯</w:t>
            </w:r>
          </w:p>
        </w:tc>
        <w:tc>
          <w:tcPr>
            <w:tcW w:w="1935"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宁夏：西夏杯</w:t>
            </w:r>
          </w:p>
        </w:tc>
        <w:tc>
          <w:tcPr>
            <w:tcW w:w="2583"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西藏：雪莲杯</w:t>
            </w:r>
          </w:p>
        </w:tc>
      </w:tr>
      <w:tr w:rsidR="008D4E2E" w:rsidRPr="008D4E2E">
        <w:tc>
          <w:tcPr>
            <w:tcW w:w="1951"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甘肃：飞天杯</w:t>
            </w:r>
          </w:p>
        </w:tc>
        <w:tc>
          <w:tcPr>
            <w:tcW w:w="2567"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河北：安济杯</w:t>
            </w:r>
          </w:p>
        </w:tc>
        <w:tc>
          <w:tcPr>
            <w:tcW w:w="1935"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青海：江河源杯</w:t>
            </w:r>
          </w:p>
        </w:tc>
        <w:tc>
          <w:tcPr>
            <w:tcW w:w="2583"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河南：中州杯</w:t>
            </w:r>
          </w:p>
        </w:tc>
      </w:tr>
      <w:tr w:rsidR="008D4E2E" w:rsidRPr="008D4E2E">
        <w:tc>
          <w:tcPr>
            <w:tcW w:w="1951"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新疆：天山奖</w:t>
            </w:r>
          </w:p>
        </w:tc>
        <w:tc>
          <w:tcPr>
            <w:tcW w:w="2567"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江苏：扬子杯</w:t>
            </w:r>
          </w:p>
        </w:tc>
        <w:tc>
          <w:tcPr>
            <w:tcW w:w="1935" w:type="dxa"/>
          </w:tcPr>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海南：绿岛杯</w:t>
            </w:r>
          </w:p>
        </w:tc>
        <w:tc>
          <w:tcPr>
            <w:tcW w:w="2583" w:type="dxa"/>
          </w:tcPr>
          <w:p w:rsidR="00D331D0" w:rsidRPr="008D4E2E" w:rsidRDefault="00D331D0">
            <w:pPr>
              <w:pStyle w:val="a3"/>
              <w:spacing w:line="288" w:lineRule="auto"/>
              <w:ind w:firstLine="0"/>
              <w:rPr>
                <w:rFonts w:ascii="宋体" w:eastAsia="宋体" w:hAnsi="宋体" w:cs="宋体"/>
                <w:color w:val="000000" w:themeColor="text1"/>
                <w:sz w:val="24"/>
                <w:szCs w:val="24"/>
              </w:rPr>
            </w:pPr>
          </w:p>
        </w:tc>
      </w:tr>
    </w:tbl>
    <w:p w:rsidR="00D331D0" w:rsidRPr="008D4E2E" w:rsidRDefault="00364F85">
      <w:pPr>
        <w:pStyle w:val="a3"/>
        <w:spacing w:line="288" w:lineRule="auto"/>
        <w:ind w:firstLine="0"/>
        <w:rPr>
          <w:rFonts w:ascii="宋体" w:eastAsia="宋体" w:hAnsi="宋体" w:cs="宋体"/>
          <w:color w:val="000000" w:themeColor="text1"/>
          <w:sz w:val="24"/>
          <w:szCs w:val="24"/>
        </w:rPr>
      </w:pPr>
      <w:r w:rsidRPr="008D4E2E">
        <w:rPr>
          <w:rFonts w:ascii="宋体" w:eastAsia="宋体" w:hAnsi="宋体" w:cs="宋体" w:hint="eastAsia"/>
          <w:color w:val="000000" w:themeColor="text1"/>
          <w:sz w:val="24"/>
          <w:szCs w:val="24"/>
        </w:rPr>
        <w:t>注：以上奖项名单如有更新，则均认可。</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（1）评标委员会在评审前应熟悉图纸和工程量清单，对供应商的技术标各项内容进行独立评审打分，将分项分值填写在技术标评分记录表上。</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（2）当评委对供应商的技术标合计分超出其他成员平均值±50%时，须作出解释说明。</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评审委员会完成评审后，应当向采购人提交书面评审报告。</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5.例外情况</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5.1当出现供应商综合评审得分相等时，按下列顺序排序：“投标报价”得分高的优先；仍相同时，“技术方案部分”得分高的优先；仍相同时，由评标委员会现场抽签确定顺序。</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5.2采购文件条款存在含义不清或者相互矛盾的，评审委员会应当针对相应条款作出有利于相应供应商的结论。</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6.其他</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6.1同一个项目划分为多个标段同时招标的，一个供应商只允许中标该项目的一个标段，且推荐投标报价高的作为中标候选标段（采购人另有约定的除外）。</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6.2 中标人提供包括施工方案的施工组织设计给采购人审查后实施。</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7、否决投标条款</w:t>
      </w:r>
    </w:p>
    <w:p w:rsidR="00D331D0" w:rsidRPr="008D4E2E" w:rsidRDefault="00364F85">
      <w:pPr>
        <w:spacing w:line="288" w:lineRule="auto"/>
        <w:rPr>
          <w:rFonts w:ascii="宋体" w:eastAsia="宋体" w:hAnsi="宋体" w:cs="宋体"/>
          <w:color w:val="000000" w:themeColor="text1"/>
          <w:sz w:val="24"/>
        </w:rPr>
      </w:pPr>
      <w:r w:rsidRPr="008D4E2E">
        <w:rPr>
          <w:rFonts w:ascii="宋体" w:eastAsia="宋体" w:hAnsi="宋体" w:cs="宋体" w:hint="eastAsia"/>
          <w:color w:val="000000" w:themeColor="text1"/>
          <w:sz w:val="24"/>
        </w:rPr>
        <w:t>供应商有以下情形之一的，应当否决其投标：</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 xml:space="preserve">（1）串通投标或弄虚作假或有其他违法行为的；    </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（2）不按评审委员会要求澄清、说明或补正的；</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（3）未按规定格式填写，实质性内容不全或关键字迹模糊、无法辨认；</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（4）递交两份或多份内容不同的响应文件，或在一份响应文件中对同一招标项目有两个或多个报价，且未声明哪一个有效的（按采购文件规定提交备选方案的除外）；</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（5）报价超最高限价的；</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（6）投标文件响应文件中存在采购人不能接受的其他实质性条件；</w:t>
      </w:r>
    </w:p>
    <w:p w:rsidR="00D331D0" w:rsidRPr="008D4E2E" w:rsidRDefault="00364F85">
      <w:pPr>
        <w:spacing w:line="288" w:lineRule="auto"/>
        <w:ind w:firstLineChars="200" w:firstLine="480"/>
        <w:rPr>
          <w:rFonts w:ascii="宋体" w:eastAsia="宋体" w:hAnsi="宋体" w:cs="宋体"/>
          <w:color w:val="000000" w:themeColor="text1"/>
          <w:sz w:val="24"/>
        </w:rPr>
      </w:pPr>
      <w:r w:rsidRPr="008D4E2E">
        <w:rPr>
          <w:rFonts w:ascii="宋体" w:eastAsia="宋体" w:hAnsi="宋体" w:cs="宋体" w:hint="eastAsia"/>
          <w:color w:val="000000" w:themeColor="text1"/>
          <w:sz w:val="24"/>
        </w:rPr>
        <w:t>（7）法律法规规定的其他情形。</w:t>
      </w:r>
    </w:p>
    <w:p w:rsidR="00D331D0" w:rsidRPr="008D4E2E" w:rsidRDefault="00D331D0">
      <w:pPr>
        <w:pStyle w:val="af8"/>
        <w:tabs>
          <w:tab w:val="left" w:pos="993"/>
          <w:tab w:val="left" w:pos="1134"/>
          <w:tab w:val="left" w:pos="1418"/>
        </w:tabs>
        <w:adjustRightInd w:val="0"/>
        <w:snapToGrid w:val="0"/>
        <w:spacing w:line="288" w:lineRule="auto"/>
        <w:ind w:firstLineChars="0" w:firstLine="0"/>
        <w:rPr>
          <w:rFonts w:ascii="宋体" w:eastAsia="宋体" w:hAnsi="宋体" w:cs="宋体"/>
          <w:color w:val="000000" w:themeColor="text1"/>
          <w:kern w:val="0"/>
          <w:sz w:val="24"/>
        </w:rPr>
      </w:pPr>
    </w:p>
    <w:sectPr w:rsidR="00D331D0" w:rsidRPr="008D4E2E">
      <w:footerReference w:type="default" r:id="rId9"/>
      <w:pgSz w:w="11906" w:h="16838"/>
      <w:pgMar w:top="1440" w:right="1800" w:bottom="1440" w:left="1800" w:header="851" w:footer="82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686" w:rsidRDefault="007D1686">
      <w:r>
        <w:separator/>
      </w:r>
    </w:p>
  </w:endnote>
  <w:endnote w:type="continuationSeparator" w:id="0">
    <w:p w:rsidR="007D1686" w:rsidRDefault="007D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981021"/>
      <w:docPartObj>
        <w:docPartGallery w:val="Page Numbers (Bottom of Page)"/>
        <w:docPartUnique/>
      </w:docPartObj>
    </w:sdtPr>
    <w:sdtContent>
      <w:p w:rsidR="008D4E2E" w:rsidRDefault="008D4E2E">
        <w:pPr>
          <w:pStyle w:val="aa"/>
          <w:jc w:val="center"/>
        </w:pPr>
        <w:r>
          <w:fldChar w:fldCharType="begin"/>
        </w:r>
        <w:r>
          <w:instrText>PAGE   \* MERGEFORMAT</w:instrText>
        </w:r>
        <w:r>
          <w:fldChar w:fldCharType="separate"/>
        </w:r>
        <w:r w:rsidRPr="008D4E2E">
          <w:rPr>
            <w:noProof/>
            <w:lang w:val="zh-CN"/>
          </w:rPr>
          <w:t>3</w:t>
        </w:r>
        <w:r>
          <w:fldChar w:fldCharType="end"/>
        </w:r>
      </w:p>
    </w:sdtContent>
  </w:sdt>
  <w:p w:rsidR="00D331D0" w:rsidRDefault="00D331D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686" w:rsidRDefault="007D1686">
      <w:r>
        <w:separator/>
      </w:r>
    </w:p>
  </w:footnote>
  <w:footnote w:type="continuationSeparator" w:id="0">
    <w:p w:rsidR="007D1686" w:rsidRDefault="007D1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01F34"/>
    <w:multiLevelType w:val="singleLevel"/>
    <w:tmpl w:val="86101F34"/>
    <w:lvl w:ilvl="0">
      <w:start w:val="1"/>
      <w:numFmt w:val="chineseCounting"/>
      <w:suff w:val="nothing"/>
      <w:lvlText w:val="（%1）"/>
      <w:lvlJc w:val="left"/>
      <w:pPr>
        <w:ind w:left="0" w:firstLine="420"/>
      </w:pPr>
      <w:rPr>
        <w:rFonts w:hint="eastAsia"/>
      </w:rPr>
    </w:lvl>
  </w:abstractNum>
  <w:abstractNum w:abstractNumId="1">
    <w:nsid w:val="B9BB7A40"/>
    <w:multiLevelType w:val="singleLevel"/>
    <w:tmpl w:val="B9BB7A40"/>
    <w:lvl w:ilvl="0">
      <w:start w:val="3"/>
      <w:numFmt w:val="decimal"/>
      <w:suff w:val="nothing"/>
      <w:lvlText w:val="%1、"/>
      <w:lvlJc w:val="left"/>
    </w:lvl>
  </w:abstractNum>
  <w:abstractNum w:abstractNumId="2">
    <w:nsid w:val="D877958E"/>
    <w:multiLevelType w:val="singleLevel"/>
    <w:tmpl w:val="D877958E"/>
    <w:lvl w:ilvl="0">
      <w:start w:val="1"/>
      <w:numFmt w:val="decimal"/>
      <w:suff w:val="nothing"/>
      <w:lvlText w:val="%1、"/>
      <w:lvlJc w:val="left"/>
      <w:pPr>
        <w:ind w:left="0" w:firstLine="420"/>
      </w:pPr>
      <w:rPr>
        <w:rFonts w:hint="default"/>
      </w:rPr>
    </w:lvl>
  </w:abstractNum>
  <w:abstractNum w:abstractNumId="3">
    <w:nsid w:val="1C8DE510"/>
    <w:multiLevelType w:val="singleLevel"/>
    <w:tmpl w:val="1C8DE510"/>
    <w:lvl w:ilvl="0">
      <w:start w:val="1"/>
      <w:numFmt w:val="chineseCounting"/>
      <w:suff w:val="nothing"/>
      <w:lvlText w:val="（%1）"/>
      <w:lvlJc w:val="left"/>
      <w:pPr>
        <w:ind w:left="0" w:firstLine="113"/>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YWU4YjgzMDNkZjJmZGVkZDdjMWI3NzQ1ZDM4ODYifQ=="/>
  </w:docVars>
  <w:rsids>
    <w:rsidRoot w:val="00172A27"/>
    <w:rsid w:val="00026BAC"/>
    <w:rsid w:val="00032F62"/>
    <w:rsid w:val="00044FAA"/>
    <w:rsid w:val="000A27D5"/>
    <w:rsid w:val="000B3D24"/>
    <w:rsid w:val="000D197C"/>
    <w:rsid w:val="000D2DD4"/>
    <w:rsid w:val="000F0BD5"/>
    <w:rsid w:val="00137B96"/>
    <w:rsid w:val="001546D9"/>
    <w:rsid w:val="00172A27"/>
    <w:rsid w:val="001769A5"/>
    <w:rsid w:val="001A0923"/>
    <w:rsid w:val="001B298F"/>
    <w:rsid w:val="001F10F5"/>
    <w:rsid w:val="001F1793"/>
    <w:rsid w:val="001F7592"/>
    <w:rsid w:val="00224980"/>
    <w:rsid w:val="00252855"/>
    <w:rsid w:val="002D1116"/>
    <w:rsid w:val="00332979"/>
    <w:rsid w:val="00352B6F"/>
    <w:rsid w:val="00364F85"/>
    <w:rsid w:val="003876E3"/>
    <w:rsid w:val="003B1DE7"/>
    <w:rsid w:val="003C7B66"/>
    <w:rsid w:val="003D7B33"/>
    <w:rsid w:val="004137A0"/>
    <w:rsid w:val="00423041"/>
    <w:rsid w:val="00454160"/>
    <w:rsid w:val="00467B66"/>
    <w:rsid w:val="00490847"/>
    <w:rsid w:val="004C5928"/>
    <w:rsid w:val="004D3F90"/>
    <w:rsid w:val="004E096B"/>
    <w:rsid w:val="005038AB"/>
    <w:rsid w:val="00521DF4"/>
    <w:rsid w:val="0053609D"/>
    <w:rsid w:val="00545564"/>
    <w:rsid w:val="00571659"/>
    <w:rsid w:val="00596E02"/>
    <w:rsid w:val="005E6441"/>
    <w:rsid w:val="00626BC2"/>
    <w:rsid w:val="00637F46"/>
    <w:rsid w:val="00670713"/>
    <w:rsid w:val="006E1927"/>
    <w:rsid w:val="006E69D7"/>
    <w:rsid w:val="007016AE"/>
    <w:rsid w:val="00737D1B"/>
    <w:rsid w:val="00767991"/>
    <w:rsid w:val="007753DF"/>
    <w:rsid w:val="007D1686"/>
    <w:rsid w:val="007E0858"/>
    <w:rsid w:val="007F09EC"/>
    <w:rsid w:val="00864FC7"/>
    <w:rsid w:val="0086799B"/>
    <w:rsid w:val="008808DE"/>
    <w:rsid w:val="008D4E2E"/>
    <w:rsid w:val="00910DD7"/>
    <w:rsid w:val="0091345F"/>
    <w:rsid w:val="009569E8"/>
    <w:rsid w:val="0097786A"/>
    <w:rsid w:val="009779FF"/>
    <w:rsid w:val="00983450"/>
    <w:rsid w:val="00986CB9"/>
    <w:rsid w:val="009879CB"/>
    <w:rsid w:val="009A72C4"/>
    <w:rsid w:val="009A7F68"/>
    <w:rsid w:val="009D58CD"/>
    <w:rsid w:val="00AF46CC"/>
    <w:rsid w:val="00B13B37"/>
    <w:rsid w:val="00B24932"/>
    <w:rsid w:val="00B62244"/>
    <w:rsid w:val="00B67E69"/>
    <w:rsid w:val="00BB2BEC"/>
    <w:rsid w:val="00CB59BB"/>
    <w:rsid w:val="00D331D0"/>
    <w:rsid w:val="00D77AB0"/>
    <w:rsid w:val="00DB40AF"/>
    <w:rsid w:val="00DD7961"/>
    <w:rsid w:val="00DE0B0C"/>
    <w:rsid w:val="00E0707D"/>
    <w:rsid w:val="00E134AB"/>
    <w:rsid w:val="00E22D2B"/>
    <w:rsid w:val="00E30396"/>
    <w:rsid w:val="00E323F8"/>
    <w:rsid w:val="00E3320F"/>
    <w:rsid w:val="00E42B6E"/>
    <w:rsid w:val="00E65C65"/>
    <w:rsid w:val="00E80603"/>
    <w:rsid w:val="00EC4C27"/>
    <w:rsid w:val="00ED47F9"/>
    <w:rsid w:val="00ED574F"/>
    <w:rsid w:val="00ED7437"/>
    <w:rsid w:val="00EE6AE9"/>
    <w:rsid w:val="00F0173D"/>
    <w:rsid w:val="00F11414"/>
    <w:rsid w:val="00F13306"/>
    <w:rsid w:val="00F30D37"/>
    <w:rsid w:val="00F575AB"/>
    <w:rsid w:val="00F67A5F"/>
    <w:rsid w:val="00F811ED"/>
    <w:rsid w:val="010C4F3C"/>
    <w:rsid w:val="011E652C"/>
    <w:rsid w:val="01305E04"/>
    <w:rsid w:val="01522A7A"/>
    <w:rsid w:val="015F6E85"/>
    <w:rsid w:val="01721A26"/>
    <w:rsid w:val="01751446"/>
    <w:rsid w:val="01774851"/>
    <w:rsid w:val="017D19B5"/>
    <w:rsid w:val="017D6054"/>
    <w:rsid w:val="017E24BB"/>
    <w:rsid w:val="01A87768"/>
    <w:rsid w:val="01A91A3F"/>
    <w:rsid w:val="01B309A7"/>
    <w:rsid w:val="01DB5325"/>
    <w:rsid w:val="01E3184B"/>
    <w:rsid w:val="01E4424C"/>
    <w:rsid w:val="01FD6F7A"/>
    <w:rsid w:val="02035E53"/>
    <w:rsid w:val="021827D2"/>
    <w:rsid w:val="022C2B60"/>
    <w:rsid w:val="0234043A"/>
    <w:rsid w:val="02384F46"/>
    <w:rsid w:val="023F5F98"/>
    <w:rsid w:val="02561F87"/>
    <w:rsid w:val="026C75EF"/>
    <w:rsid w:val="029C1566"/>
    <w:rsid w:val="02AC7452"/>
    <w:rsid w:val="02AE56D1"/>
    <w:rsid w:val="02B53012"/>
    <w:rsid w:val="02DD6DCE"/>
    <w:rsid w:val="02F04D49"/>
    <w:rsid w:val="02F05E8F"/>
    <w:rsid w:val="02F4630E"/>
    <w:rsid w:val="02FA0D9C"/>
    <w:rsid w:val="031975F5"/>
    <w:rsid w:val="03342E8A"/>
    <w:rsid w:val="03442E76"/>
    <w:rsid w:val="03534B16"/>
    <w:rsid w:val="035C153C"/>
    <w:rsid w:val="03A54CE2"/>
    <w:rsid w:val="03BB010E"/>
    <w:rsid w:val="03D82DAD"/>
    <w:rsid w:val="03DA4690"/>
    <w:rsid w:val="03E5291B"/>
    <w:rsid w:val="03ED729D"/>
    <w:rsid w:val="0444622F"/>
    <w:rsid w:val="045F6A0A"/>
    <w:rsid w:val="04614CE2"/>
    <w:rsid w:val="04634498"/>
    <w:rsid w:val="046B0BDC"/>
    <w:rsid w:val="04707122"/>
    <w:rsid w:val="0483157C"/>
    <w:rsid w:val="04A66597"/>
    <w:rsid w:val="04A822FE"/>
    <w:rsid w:val="04AB2475"/>
    <w:rsid w:val="04B50EB1"/>
    <w:rsid w:val="04B70408"/>
    <w:rsid w:val="04C957A9"/>
    <w:rsid w:val="04F04F64"/>
    <w:rsid w:val="04FA3396"/>
    <w:rsid w:val="0506094C"/>
    <w:rsid w:val="050B5041"/>
    <w:rsid w:val="051125AF"/>
    <w:rsid w:val="053A2251"/>
    <w:rsid w:val="05433E46"/>
    <w:rsid w:val="05461C49"/>
    <w:rsid w:val="05530214"/>
    <w:rsid w:val="0557260C"/>
    <w:rsid w:val="058A7DEF"/>
    <w:rsid w:val="05A87D29"/>
    <w:rsid w:val="05BB5754"/>
    <w:rsid w:val="05F1273E"/>
    <w:rsid w:val="05F1290D"/>
    <w:rsid w:val="05F51C46"/>
    <w:rsid w:val="05FE58B2"/>
    <w:rsid w:val="06023C82"/>
    <w:rsid w:val="06052EFF"/>
    <w:rsid w:val="061D4F3F"/>
    <w:rsid w:val="062561DD"/>
    <w:rsid w:val="06297651"/>
    <w:rsid w:val="063C38B5"/>
    <w:rsid w:val="064E040A"/>
    <w:rsid w:val="068055CA"/>
    <w:rsid w:val="068B155C"/>
    <w:rsid w:val="06CB362F"/>
    <w:rsid w:val="06CD4201"/>
    <w:rsid w:val="06D32F6F"/>
    <w:rsid w:val="06D82492"/>
    <w:rsid w:val="06DC5209"/>
    <w:rsid w:val="06E638A7"/>
    <w:rsid w:val="07201DF1"/>
    <w:rsid w:val="07287994"/>
    <w:rsid w:val="073F3E04"/>
    <w:rsid w:val="07505598"/>
    <w:rsid w:val="075D3B11"/>
    <w:rsid w:val="077A3B97"/>
    <w:rsid w:val="07FB1E0E"/>
    <w:rsid w:val="08075AF6"/>
    <w:rsid w:val="080B77B6"/>
    <w:rsid w:val="085206BF"/>
    <w:rsid w:val="085A5790"/>
    <w:rsid w:val="085C7CEA"/>
    <w:rsid w:val="08632D7A"/>
    <w:rsid w:val="086D1A05"/>
    <w:rsid w:val="087F4B83"/>
    <w:rsid w:val="0887576C"/>
    <w:rsid w:val="088E0365"/>
    <w:rsid w:val="089703BB"/>
    <w:rsid w:val="08A8489B"/>
    <w:rsid w:val="08C26AA5"/>
    <w:rsid w:val="08CF5CBD"/>
    <w:rsid w:val="08D70C47"/>
    <w:rsid w:val="09003C26"/>
    <w:rsid w:val="091E1533"/>
    <w:rsid w:val="092847CA"/>
    <w:rsid w:val="094259D4"/>
    <w:rsid w:val="09741A1D"/>
    <w:rsid w:val="099009CE"/>
    <w:rsid w:val="099E4BC2"/>
    <w:rsid w:val="09AF5974"/>
    <w:rsid w:val="09D36D87"/>
    <w:rsid w:val="0A120244"/>
    <w:rsid w:val="0A22782C"/>
    <w:rsid w:val="0A742FA0"/>
    <w:rsid w:val="0A85045D"/>
    <w:rsid w:val="0A8748FB"/>
    <w:rsid w:val="0A913A93"/>
    <w:rsid w:val="0AAD6A4C"/>
    <w:rsid w:val="0AFD3E00"/>
    <w:rsid w:val="0AFE67C5"/>
    <w:rsid w:val="0B200F71"/>
    <w:rsid w:val="0B2F4E5F"/>
    <w:rsid w:val="0B834A6D"/>
    <w:rsid w:val="0B8553F4"/>
    <w:rsid w:val="0B8F2739"/>
    <w:rsid w:val="0B9B6058"/>
    <w:rsid w:val="0BAF03CE"/>
    <w:rsid w:val="0BD77E6C"/>
    <w:rsid w:val="0BD857FA"/>
    <w:rsid w:val="0BF16869"/>
    <w:rsid w:val="0BFB1FCA"/>
    <w:rsid w:val="0C2B7E99"/>
    <w:rsid w:val="0C2C6048"/>
    <w:rsid w:val="0C370269"/>
    <w:rsid w:val="0C425AE4"/>
    <w:rsid w:val="0C445065"/>
    <w:rsid w:val="0C630012"/>
    <w:rsid w:val="0C750DBA"/>
    <w:rsid w:val="0C76718D"/>
    <w:rsid w:val="0C7F6B1D"/>
    <w:rsid w:val="0C9009B1"/>
    <w:rsid w:val="0C99032D"/>
    <w:rsid w:val="0CA127D2"/>
    <w:rsid w:val="0CBD0F17"/>
    <w:rsid w:val="0CC22422"/>
    <w:rsid w:val="0CE975F0"/>
    <w:rsid w:val="0CEA38F3"/>
    <w:rsid w:val="0CFF3598"/>
    <w:rsid w:val="0D084942"/>
    <w:rsid w:val="0D2538B2"/>
    <w:rsid w:val="0D4335EE"/>
    <w:rsid w:val="0D484369"/>
    <w:rsid w:val="0D612BBF"/>
    <w:rsid w:val="0D6132E1"/>
    <w:rsid w:val="0D6A288F"/>
    <w:rsid w:val="0D7F2157"/>
    <w:rsid w:val="0D9679A1"/>
    <w:rsid w:val="0DA64C44"/>
    <w:rsid w:val="0DA937A3"/>
    <w:rsid w:val="0DAB3C7A"/>
    <w:rsid w:val="0DAC2614"/>
    <w:rsid w:val="0DD36ED2"/>
    <w:rsid w:val="0DEA4F56"/>
    <w:rsid w:val="0DEF4814"/>
    <w:rsid w:val="0E09275F"/>
    <w:rsid w:val="0E0C73B6"/>
    <w:rsid w:val="0E1B0198"/>
    <w:rsid w:val="0E23622E"/>
    <w:rsid w:val="0E24080A"/>
    <w:rsid w:val="0E276792"/>
    <w:rsid w:val="0E491B1F"/>
    <w:rsid w:val="0E4E02D7"/>
    <w:rsid w:val="0E50474C"/>
    <w:rsid w:val="0E600F6E"/>
    <w:rsid w:val="0E6B3175"/>
    <w:rsid w:val="0E6C449D"/>
    <w:rsid w:val="0E823A32"/>
    <w:rsid w:val="0E88084B"/>
    <w:rsid w:val="0E8F14BF"/>
    <w:rsid w:val="0E943882"/>
    <w:rsid w:val="0EAB7FDE"/>
    <w:rsid w:val="0ED15B27"/>
    <w:rsid w:val="0EF4628A"/>
    <w:rsid w:val="0EFA419D"/>
    <w:rsid w:val="0EFE735B"/>
    <w:rsid w:val="0F0D2708"/>
    <w:rsid w:val="0F0E2279"/>
    <w:rsid w:val="0F1F544F"/>
    <w:rsid w:val="0F6161F2"/>
    <w:rsid w:val="0F7A27B5"/>
    <w:rsid w:val="0F7D4C7F"/>
    <w:rsid w:val="0F870DDE"/>
    <w:rsid w:val="0FB16151"/>
    <w:rsid w:val="0FC01045"/>
    <w:rsid w:val="10091F90"/>
    <w:rsid w:val="1040460D"/>
    <w:rsid w:val="10667E6E"/>
    <w:rsid w:val="10674DD9"/>
    <w:rsid w:val="1083458C"/>
    <w:rsid w:val="10887E92"/>
    <w:rsid w:val="10917BE0"/>
    <w:rsid w:val="109B0F40"/>
    <w:rsid w:val="109E2D8C"/>
    <w:rsid w:val="10A1217D"/>
    <w:rsid w:val="10F124C1"/>
    <w:rsid w:val="110F54D8"/>
    <w:rsid w:val="11426613"/>
    <w:rsid w:val="116075F3"/>
    <w:rsid w:val="11703448"/>
    <w:rsid w:val="119721BF"/>
    <w:rsid w:val="119945A4"/>
    <w:rsid w:val="11A31A53"/>
    <w:rsid w:val="11CE5360"/>
    <w:rsid w:val="11D2003C"/>
    <w:rsid w:val="11F16D9B"/>
    <w:rsid w:val="11F86530"/>
    <w:rsid w:val="12122800"/>
    <w:rsid w:val="12176122"/>
    <w:rsid w:val="121D6749"/>
    <w:rsid w:val="1223181F"/>
    <w:rsid w:val="1239126D"/>
    <w:rsid w:val="124627DA"/>
    <w:rsid w:val="129F742E"/>
    <w:rsid w:val="12A43316"/>
    <w:rsid w:val="12AC1B84"/>
    <w:rsid w:val="12BF4219"/>
    <w:rsid w:val="12C7664F"/>
    <w:rsid w:val="12D57223"/>
    <w:rsid w:val="12FE4C57"/>
    <w:rsid w:val="132B0147"/>
    <w:rsid w:val="13314FD2"/>
    <w:rsid w:val="13341C82"/>
    <w:rsid w:val="133B6052"/>
    <w:rsid w:val="133F7862"/>
    <w:rsid w:val="13461445"/>
    <w:rsid w:val="135265D7"/>
    <w:rsid w:val="136F2B72"/>
    <w:rsid w:val="13813A20"/>
    <w:rsid w:val="13884BB6"/>
    <w:rsid w:val="138B4BD3"/>
    <w:rsid w:val="13A42DDE"/>
    <w:rsid w:val="13B27351"/>
    <w:rsid w:val="13B66838"/>
    <w:rsid w:val="13BA293B"/>
    <w:rsid w:val="13E710C5"/>
    <w:rsid w:val="13F72FFA"/>
    <w:rsid w:val="141445A8"/>
    <w:rsid w:val="141D09FC"/>
    <w:rsid w:val="14280518"/>
    <w:rsid w:val="14387767"/>
    <w:rsid w:val="14552988"/>
    <w:rsid w:val="145916C9"/>
    <w:rsid w:val="14A304B5"/>
    <w:rsid w:val="14AF0BD0"/>
    <w:rsid w:val="14B57ED3"/>
    <w:rsid w:val="14BE1F3F"/>
    <w:rsid w:val="14D525A6"/>
    <w:rsid w:val="14E365E6"/>
    <w:rsid w:val="14E420C4"/>
    <w:rsid w:val="14E629DC"/>
    <w:rsid w:val="14F266A3"/>
    <w:rsid w:val="15051F1D"/>
    <w:rsid w:val="151648D1"/>
    <w:rsid w:val="151F1119"/>
    <w:rsid w:val="155A0D15"/>
    <w:rsid w:val="15666C04"/>
    <w:rsid w:val="15734CD8"/>
    <w:rsid w:val="159C1274"/>
    <w:rsid w:val="15AB60E4"/>
    <w:rsid w:val="15C83088"/>
    <w:rsid w:val="15CA61E8"/>
    <w:rsid w:val="15DE1C7E"/>
    <w:rsid w:val="16040771"/>
    <w:rsid w:val="160F46A7"/>
    <w:rsid w:val="16540FA7"/>
    <w:rsid w:val="16664857"/>
    <w:rsid w:val="169C5B2E"/>
    <w:rsid w:val="16AC428E"/>
    <w:rsid w:val="16BC26E2"/>
    <w:rsid w:val="16C151D2"/>
    <w:rsid w:val="16CA1368"/>
    <w:rsid w:val="16DA7107"/>
    <w:rsid w:val="16E608DD"/>
    <w:rsid w:val="16F94AD4"/>
    <w:rsid w:val="170525CE"/>
    <w:rsid w:val="171D3B7B"/>
    <w:rsid w:val="17456DB9"/>
    <w:rsid w:val="17535B79"/>
    <w:rsid w:val="175C7AE2"/>
    <w:rsid w:val="176678FF"/>
    <w:rsid w:val="176F6BF2"/>
    <w:rsid w:val="177C3946"/>
    <w:rsid w:val="17A812BF"/>
    <w:rsid w:val="17AD0175"/>
    <w:rsid w:val="17CE36BB"/>
    <w:rsid w:val="17D6799F"/>
    <w:rsid w:val="17DA01A9"/>
    <w:rsid w:val="17EA6E66"/>
    <w:rsid w:val="182F2A52"/>
    <w:rsid w:val="18754F56"/>
    <w:rsid w:val="18AC4DAC"/>
    <w:rsid w:val="19241F83"/>
    <w:rsid w:val="19331FA9"/>
    <w:rsid w:val="19467770"/>
    <w:rsid w:val="194E016A"/>
    <w:rsid w:val="194E3FDD"/>
    <w:rsid w:val="195D6BE3"/>
    <w:rsid w:val="1967588A"/>
    <w:rsid w:val="19A47155"/>
    <w:rsid w:val="19A576FD"/>
    <w:rsid w:val="19AE5EC6"/>
    <w:rsid w:val="19AF15DD"/>
    <w:rsid w:val="19AF2024"/>
    <w:rsid w:val="19DA44CB"/>
    <w:rsid w:val="19E80E8E"/>
    <w:rsid w:val="1A066FED"/>
    <w:rsid w:val="1A0C699C"/>
    <w:rsid w:val="1A2F1A6E"/>
    <w:rsid w:val="1A435353"/>
    <w:rsid w:val="1A46128F"/>
    <w:rsid w:val="1A4904BC"/>
    <w:rsid w:val="1A62626E"/>
    <w:rsid w:val="1A6C215B"/>
    <w:rsid w:val="1A80708A"/>
    <w:rsid w:val="1A8B4088"/>
    <w:rsid w:val="1AA41F7D"/>
    <w:rsid w:val="1AA65E4A"/>
    <w:rsid w:val="1AB0197B"/>
    <w:rsid w:val="1ADF492A"/>
    <w:rsid w:val="1AF372C8"/>
    <w:rsid w:val="1B0062E3"/>
    <w:rsid w:val="1B160B18"/>
    <w:rsid w:val="1B2516E2"/>
    <w:rsid w:val="1B410976"/>
    <w:rsid w:val="1B644C4C"/>
    <w:rsid w:val="1B655D78"/>
    <w:rsid w:val="1B663DB6"/>
    <w:rsid w:val="1B7D1311"/>
    <w:rsid w:val="1B9F1DB3"/>
    <w:rsid w:val="1BD006CF"/>
    <w:rsid w:val="1BD573E4"/>
    <w:rsid w:val="1BEA6992"/>
    <w:rsid w:val="1BF34FF4"/>
    <w:rsid w:val="1BF838FD"/>
    <w:rsid w:val="1BFB76B0"/>
    <w:rsid w:val="1C0A60AC"/>
    <w:rsid w:val="1C2A4F04"/>
    <w:rsid w:val="1C2F7818"/>
    <w:rsid w:val="1C386F61"/>
    <w:rsid w:val="1C491E0D"/>
    <w:rsid w:val="1C500D90"/>
    <w:rsid w:val="1C747907"/>
    <w:rsid w:val="1C7908FC"/>
    <w:rsid w:val="1C79607D"/>
    <w:rsid w:val="1C837A9E"/>
    <w:rsid w:val="1C8F2730"/>
    <w:rsid w:val="1C9260FE"/>
    <w:rsid w:val="1CA26C1C"/>
    <w:rsid w:val="1CE4351B"/>
    <w:rsid w:val="1CE72C4A"/>
    <w:rsid w:val="1CE93EE7"/>
    <w:rsid w:val="1CED5D86"/>
    <w:rsid w:val="1CF04076"/>
    <w:rsid w:val="1D011872"/>
    <w:rsid w:val="1D0F3397"/>
    <w:rsid w:val="1D3D7F38"/>
    <w:rsid w:val="1D732BA8"/>
    <w:rsid w:val="1D804CE0"/>
    <w:rsid w:val="1D941B81"/>
    <w:rsid w:val="1D962032"/>
    <w:rsid w:val="1D9835E4"/>
    <w:rsid w:val="1DD32BAB"/>
    <w:rsid w:val="1E222ED9"/>
    <w:rsid w:val="1E351CBA"/>
    <w:rsid w:val="1E65443D"/>
    <w:rsid w:val="1E666E3F"/>
    <w:rsid w:val="1EA34596"/>
    <w:rsid w:val="1EA866E3"/>
    <w:rsid w:val="1ECF789E"/>
    <w:rsid w:val="1EEB31B8"/>
    <w:rsid w:val="1F1F5596"/>
    <w:rsid w:val="1F961E58"/>
    <w:rsid w:val="1F9A23DF"/>
    <w:rsid w:val="1FCA4BF8"/>
    <w:rsid w:val="1FCD1D62"/>
    <w:rsid w:val="1FE90FF5"/>
    <w:rsid w:val="1FF15F0D"/>
    <w:rsid w:val="201C67A7"/>
    <w:rsid w:val="20221F16"/>
    <w:rsid w:val="20610921"/>
    <w:rsid w:val="206536DB"/>
    <w:rsid w:val="20826260"/>
    <w:rsid w:val="20861363"/>
    <w:rsid w:val="20C3469A"/>
    <w:rsid w:val="20CC36B0"/>
    <w:rsid w:val="20D73DE4"/>
    <w:rsid w:val="211A15E9"/>
    <w:rsid w:val="212D302F"/>
    <w:rsid w:val="213B123C"/>
    <w:rsid w:val="21636CD4"/>
    <w:rsid w:val="217143D4"/>
    <w:rsid w:val="21A20E14"/>
    <w:rsid w:val="21AC5933"/>
    <w:rsid w:val="21E063D1"/>
    <w:rsid w:val="21E72423"/>
    <w:rsid w:val="223373F9"/>
    <w:rsid w:val="22342ED8"/>
    <w:rsid w:val="22533827"/>
    <w:rsid w:val="226C412B"/>
    <w:rsid w:val="226F71F1"/>
    <w:rsid w:val="22700CA8"/>
    <w:rsid w:val="22850D4C"/>
    <w:rsid w:val="22A95FCD"/>
    <w:rsid w:val="22D07622"/>
    <w:rsid w:val="22FB7D9A"/>
    <w:rsid w:val="22FC3D4A"/>
    <w:rsid w:val="233407E6"/>
    <w:rsid w:val="2346212A"/>
    <w:rsid w:val="23815CDD"/>
    <w:rsid w:val="23A10330"/>
    <w:rsid w:val="23B21EBF"/>
    <w:rsid w:val="23B615F6"/>
    <w:rsid w:val="23B64BA9"/>
    <w:rsid w:val="23C94F2F"/>
    <w:rsid w:val="23F0674C"/>
    <w:rsid w:val="23F4080E"/>
    <w:rsid w:val="23F55825"/>
    <w:rsid w:val="23F60825"/>
    <w:rsid w:val="2412703C"/>
    <w:rsid w:val="2425606F"/>
    <w:rsid w:val="2433397A"/>
    <w:rsid w:val="243B5A6D"/>
    <w:rsid w:val="24477036"/>
    <w:rsid w:val="245B2374"/>
    <w:rsid w:val="247442EB"/>
    <w:rsid w:val="248D5069"/>
    <w:rsid w:val="24D71207"/>
    <w:rsid w:val="24DD736E"/>
    <w:rsid w:val="24E702AD"/>
    <w:rsid w:val="24FC417F"/>
    <w:rsid w:val="252C2672"/>
    <w:rsid w:val="25334022"/>
    <w:rsid w:val="253A5760"/>
    <w:rsid w:val="253F60A4"/>
    <w:rsid w:val="256834E7"/>
    <w:rsid w:val="25B871B4"/>
    <w:rsid w:val="25B95F44"/>
    <w:rsid w:val="25DD260A"/>
    <w:rsid w:val="25E16F30"/>
    <w:rsid w:val="26237696"/>
    <w:rsid w:val="26354A01"/>
    <w:rsid w:val="2655236D"/>
    <w:rsid w:val="266F33AE"/>
    <w:rsid w:val="268477E4"/>
    <w:rsid w:val="269F0AAD"/>
    <w:rsid w:val="26A85887"/>
    <w:rsid w:val="26C66955"/>
    <w:rsid w:val="26F03136"/>
    <w:rsid w:val="26F277F2"/>
    <w:rsid w:val="27066A44"/>
    <w:rsid w:val="270F7064"/>
    <w:rsid w:val="2757136C"/>
    <w:rsid w:val="2767390A"/>
    <w:rsid w:val="27891436"/>
    <w:rsid w:val="27CE3856"/>
    <w:rsid w:val="28135441"/>
    <w:rsid w:val="28145850"/>
    <w:rsid w:val="281913FB"/>
    <w:rsid w:val="284C41AB"/>
    <w:rsid w:val="285B596A"/>
    <w:rsid w:val="286C410F"/>
    <w:rsid w:val="287B2052"/>
    <w:rsid w:val="288316D8"/>
    <w:rsid w:val="288F4B78"/>
    <w:rsid w:val="28936A7D"/>
    <w:rsid w:val="28947FEF"/>
    <w:rsid w:val="28A43BA0"/>
    <w:rsid w:val="28AB059A"/>
    <w:rsid w:val="28AC554B"/>
    <w:rsid w:val="28B46CA9"/>
    <w:rsid w:val="28B9711D"/>
    <w:rsid w:val="28C66721"/>
    <w:rsid w:val="28D147C3"/>
    <w:rsid w:val="28DC56E0"/>
    <w:rsid w:val="28F80EA5"/>
    <w:rsid w:val="28FD3559"/>
    <w:rsid w:val="29390247"/>
    <w:rsid w:val="294D7013"/>
    <w:rsid w:val="29763E79"/>
    <w:rsid w:val="297F4B04"/>
    <w:rsid w:val="29901A2F"/>
    <w:rsid w:val="29A539C6"/>
    <w:rsid w:val="29A82935"/>
    <w:rsid w:val="29AD4693"/>
    <w:rsid w:val="29C562FD"/>
    <w:rsid w:val="29D479E9"/>
    <w:rsid w:val="29DA230C"/>
    <w:rsid w:val="29F557E8"/>
    <w:rsid w:val="2A232F79"/>
    <w:rsid w:val="2A396A2B"/>
    <w:rsid w:val="2A413E86"/>
    <w:rsid w:val="2A4218E4"/>
    <w:rsid w:val="2A884DEE"/>
    <w:rsid w:val="2AA66AD2"/>
    <w:rsid w:val="2ACD2FB8"/>
    <w:rsid w:val="2ADE1A55"/>
    <w:rsid w:val="2B0231EE"/>
    <w:rsid w:val="2B1F20D3"/>
    <w:rsid w:val="2B3E162A"/>
    <w:rsid w:val="2B5A1E76"/>
    <w:rsid w:val="2B637232"/>
    <w:rsid w:val="2BBB2370"/>
    <w:rsid w:val="2BCA381F"/>
    <w:rsid w:val="2C0C6B6B"/>
    <w:rsid w:val="2C250291"/>
    <w:rsid w:val="2C250427"/>
    <w:rsid w:val="2C2B37E0"/>
    <w:rsid w:val="2C34066C"/>
    <w:rsid w:val="2C5F3832"/>
    <w:rsid w:val="2C672666"/>
    <w:rsid w:val="2C7926FB"/>
    <w:rsid w:val="2C7D03A2"/>
    <w:rsid w:val="2CB902E4"/>
    <w:rsid w:val="2D057641"/>
    <w:rsid w:val="2D185B09"/>
    <w:rsid w:val="2D18644C"/>
    <w:rsid w:val="2D1E02FE"/>
    <w:rsid w:val="2D2117F2"/>
    <w:rsid w:val="2D2663A6"/>
    <w:rsid w:val="2D297D44"/>
    <w:rsid w:val="2D3206A5"/>
    <w:rsid w:val="2D3D0088"/>
    <w:rsid w:val="2D475894"/>
    <w:rsid w:val="2D5562AB"/>
    <w:rsid w:val="2D5E3375"/>
    <w:rsid w:val="2D6970E6"/>
    <w:rsid w:val="2D741A4D"/>
    <w:rsid w:val="2D874951"/>
    <w:rsid w:val="2D8937E3"/>
    <w:rsid w:val="2D8E1D82"/>
    <w:rsid w:val="2D9479D3"/>
    <w:rsid w:val="2DC805E8"/>
    <w:rsid w:val="2DDB46C1"/>
    <w:rsid w:val="2DF5727D"/>
    <w:rsid w:val="2E0B0AC1"/>
    <w:rsid w:val="2E3A195C"/>
    <w:rsid w:val="2E410200"/>
    <w:rsid w:val="2E494290"/>
    <w:rsid w:val="2E5614F6"/>
    <w:rsid w:val="2E66264A"/>
    <w:rsid w:val="2E6723D8"/>
    <w:rsid w:val="2E881BA9"/>
    <w:rsid w:val="2E91693F"/>
    <w:rsid w:val="2E9C675A"/>
    <w:rsid w:val="2E9E4356"/>
    <w:rsid w:val="2EA52652"/>
    <w:rsid w:val="2F9D4B95"/>
    <w:rsid w:val="2FA1297E"/>
    <w:rsid w:val="2FAE2B1D"/>
    <w:rsid w:val="2FD32F3E"/>
    <w:rsid w:val="2FEC0D1B"/>
    <w:rsid w:val="2FF6143F"/>
    <w:rsid w:val="2FF75097"/>
    <w:rsid w:val="30393D9F"/>
    <w:rsid w:val="304142A7"/>
    <w:rsid w:val="30427B11"/>
    <w:rsid w:val="30562EFC"/>
    <w:rsid w:val="306407C3"/>
    <w:rsid w:val="308D1245"/>
    <w:rsid w:val="30A346DC"/>
    <w:rsid w:val="30A55E88"/>
    <w:rsid w:val="30D06BCA"/>
    <w:rsid w:val="315E429D"/>
    <w:rsid w:val="3168083B"/>
    <w:rsid w:val="318171F6"/>
    <w:rsid w:val="319A5EEE"/>
    <w:rsid w:val="319F5197"/>
    <w:rsid w:val="31A91CB2"/>
    <w:rsid w:val="31A9522A"/>
    <w:rsid w:val="31BB3FE3"/>
    <w:rsid w:val="31C33928"/>
    <w:rsid w:val="31C7726D"/>
    <w:rsid w:val="31CC0426"/>
    <w:rsid w:val="32005ACC"/>
    <w:rsid w:val="32261847"/>
    <w:rsid w:val="322B1CE1"/>
    <w:rsid w:val="32301934"/>
    <w:rsid w:val="32477178"/>
    <w:rsid w:val="326B4043"/>
    <w:rsid w:val="32A964E2"/>
    <w:rsid w:val="32B5685D"/>
    <w:rsid w:val="32D447AC"/>
    <w:rsid w:val="32E74E70"/>
    <w:rsid w:val="32F470AC"/>
    <w:rsid w:val="33217989"/>
    <w:rsid w:val="33312001"/>
    <w:rsid w:val="33386490"/>
    <w:rsid w:val="335C2806"/>
    <w:rsid w:val="335D7F1E"/>
    <w:rsid w:val="336F03EF"/>
    <w:rsid w:val="33835A63"/>
    <w:rsid w:val="338702EB"/>
    <w:rsid w:val="338878B3"/>
    <w:rsid w:val="339B3ABE"/>
    <w:rsid w:val="33E0763E"/>
    <w:rsid w:val="33E939F0"/>
    <w:rsid w:val="33F42776"/>
    <w:rsid w:val="33FC77CA"/>
    <w:rsid w:val="342C2A59"/>
    <w:rsid w:val="3430758A"/>
    <w:rsid w:val="3461796F"/>
    <w:rsid w:val="346E4194"/>
    <w:rsid w:val="34891B3C"/>
    <w:rsid w:val="34903D06"/>
    <w:rsid w:val="34997FA3"/>
    <w:rsid w:val="34A34600"/>
    <w:rsid w:val="34D9679D"/>
    <w:rsid w:val="34FD5E06"/>
    <w:rsid w:val="35353112"/>
    <w:rsid w:val="35427329"/>
    <w:rsid w:val="35634476"/>
    <w:rsid w:val="35792A10"/>
    <w:rsid w:val="357B1E0B"/>
    <w:rsid w:val="35A16CA0"/>
    <w:rsid w:val="35A7651F"/>
    <w:rsid w:val="35B2561E"/>
    <w:rsid w:val="35B91D1C"/>
    <w:rsid w:val="35C0442B"/>
    <w:rsid w:val="35CD64B6"/>
    <w:rsid w:val="35DB4060"/>
    <w:rsid w:val="35DC475F"/>
    <w:rsid w:val="35E36E62"/>
    <w:rsid w:val="35F04FF6"/>
    <w:rsid w:val="36101E8A"/>
    <w:rsid w:val="362B7D2A"/>
    <w:rsid w:val="3631642F"/>
    <w:rsid w:val="36407B23"/>
    <w:rsid w:val="364C6741"/>
    <w:rsid w:val="365E47D3"/>
    <w:rsid w:val="36A43AAF"/>
    <w:rsid w:val="36AD311D"/>
    <w:rsid w:val="36C03FA7"/>
    <w:rsid w:val="36C729D8"/>
    <w:rsid w:val="36F306D5"/>
    <w:rsid w:val="37024487"/>
    <w:rsid w:val="3717469D"/>
    <w:rsid w:val="372351AB"/>
    <w:rsid w:val="37257DEB"/>
    <w:rsid w:val="37494E99"/>
    <w:rsid w:val="374F327C"/>
    <w:rsid w:val="3751011F"/>
    <w:rsid w:val="376801E4"/>
    <w:rsid w:val="376C7797"/>
    <w:rsid w:val="37752852"/>
    <w:rsid w:val="37812F1C"/>
    <w:rsid w:val="37BA25F2"/>
    <w:rsid w:val="37BB4B7A"/>
    <w:rsid w:val="37BB73F9"/>
    <w:rsid w:val="37BE4DE7"/>
    <w:rsid w:val="37D304DF"/>
    <w:rsid w:val="37D57E87"/>
    <w:rsid w:val="3803511D"/>
    <w:rsid w:val="380368E9"/>
    <w:rsid w:val="38197FEF"/>
    <w:rsid w:val="38211E2A"/>
    <w:rsid w:val="383110ED"/>
    <w:rsid w:val="383474A1"/>
    <w:rsid w:val="383C5D68"/>
    <w:rsid w:val="38456FCA"/>
    <w:rsid w:val="385B3A21"/>
    <w:rsid w:val="38607E6B"/>
    <w:rsid w:val="38650022"/>
    <w:rsid w:val="38806EBF"/>
    <w:rsid w:val="38852257"/>
    <w:rsid w:val="38C40CB8"/>
    <w:rsid w:val="38DC3D18"/>
    <w:rsid w:val="38F2693B"/>
    <w:rsid w:val="38FA40FA"/>
    <w:rsid w:val="39112206"/>
    <w:rsid w:val="391C6666"/>
    <w:rsid w:val="39222EDF"/>
    <w:rsid w:val="39253BF9"/>
    <w:rsid w:val="392E14BD"/>
    <w:rsid w:val="39396C5E"/>
    <w:rsid w:val="39471CB0"/>
    <w:rsid w:val="39523B66"/>
    <w:rsid w:val="397B7457"/>
    <w:rsid w:val="398A5FE3"/>
    <w:rsid w:val="398F66F8"/>
    <w:rsid w:val="39955E30"/>
    <w:rsid w:val="399817B6"/>
    <w:rsid w:val="39994C6C"/>
    <w:rsid w:val="39A05D39"/>
    <w:rsid w:val="39A05D93"/>
    <w:rsid w:val="39B55DE8"/>
    <w:rsid w:val="39BA7805"/>
    <w:rsid w:val="39D30211"/>
    <w:rsid w:val="39E645AC"/>
    <w:rsid w:val="39F0192E"/>
    <w:rsid w:val="3A034D63"/>
    <w:rsid w:val="3A0B6F50"/>
    <w:rsid w:val="3A0C439A"/>
    <w:rsid w:val="3A29770C"/>
    <w:rsid w:val="3A487489"/>
    <w:rsid w:val="3A6E42B0"/>
    <w:rsid w:val="3A852E48"/>
    <w:rsid w:val="3A8A617C"/>
    <w:rsid w:val="3A8E5BB0"/>
    <w:rsid w:val="3A944414"/>
    <w:rsid w:val="3AA47107"/>
    <w:rsid w:val="3AA75680"/>
    <w:rsid w:val="3AB855AB"/>
    <w:rsid w:val="3AB9523C"/>
    <w:rsid w:val="3ACB7DB4"/>
    <w:rsid w:val="3ADA34BE"/>
    <w:rsid w:val="3AE666AB"/>
    <w:rsid w:val="3AEA404F"/>
    <w:rsid w:val="3AFF13B0"/>
    <w:rsid w:val="3B1A4171"/>
    <w:rsid w:val="3B2B1958"/>
    <w:rsid w:val="3B315A2D"/>
    <w:rsid w:val="3B4B78C3"/>
    <w:rsid w:val="3B4C2091"/>
    <w:rsid w:val="3B5079DD"/>
    <w:rsid w:val="3B530C1D"/>
    <w:rsid w:val="3B9B7E41"/>
    <w:rsid w:val="3BE232DE"/>
    <w:rsid w:val="3BED5A9E"/>
    <w:rsid w:val="3C2F4427"/>
    <w:rsid w:val="3C3A0088"/>
    <w:rsid w:val="3C4D6624"/>
    <w:rsid w:val="3C521EC1"/>
    <w:rsid w:val="3C5474A8"/>
    <w:rsid w:val="3C627555"/>
    <w:rsid w:val="3C647FF7"/>
    <w:rsid w:val="3CA02209"/>
    <w:rsid w:val="3CB073DE"/>
    <w:rsid w:val="3CBA4966"/>
    <w:rsid w:val="3CD302BD"/>
    <w:rsid w:val="3CD464E2"/>
    <w:rsid w:val="3CF72433"/>
    <w:rsid w:val="3CFF1F15"/>
    <w:rsid w:val="3D044F68"/>
    <w:rsid w:val="3D0B4C75"/>
    <w:rsid w:val="3D1F2EFC"/>
    <w:rsid w:val="3D203EC0"/>
    <w:rsid w:val="3D2661B6"/>
    <w:rsid w:val="3D9C21D8"/>
    <w:rsid w:val="3D9F44FE"/>
    <w:rsid w:val="3DB87CE5"/>
    <w:rsid w:val="3DC26B69"/>
    <w:rsid w:val="3E0005D9"/>
    <w:rsid w:val="3E3E4B13"/>
    <w:rsid w:val="3E410389"/>
    <w:rsid w:val="3E51436E"/>
    <w:rsid w:val="3E7061DA"/>
    <w:rsid w:val="3EA868D8"/>
    <w:rsid w:val="3EEB65E4"/>
    <w:rsid w:val="3F02698D"/>
    <w:rsid w:val="3F052847"/>
    <w:rsid w:val="3F0A508C"/>
    <w:rsid w:val="3F0D0557"/>
    <w:rsid w:val="3F140668"/>
    <w:rsid w:val="3F21432B"/>
    <w:rsid w:val="3F3A0A74"/>
    <w:rsid w:val="3F58064E"/>
    <w:rsid w:val="3F711504"/>
    <w:rsid w:val="3F71542A"/>
    <w:rsid w:val="3F7E2BB3"/>
    <w:rsid w:val="3FC70C10"/>
    <w:rsid w:val="3FF455E7"/>
    <w:rsid w:val="40146C41"/>
    <w:rsid w:val="40205E7A"/>
    <w:rsid w:val="40222793"/>
    <w:rsid w:val="40B13626"/>
    <w:rsid w:val="40B74574"/>
    <w:rsid w:val="40EF528C"/>
    <w:rsid w:val="411444C3"/>
    <w:rsid w:val="412C1BF1"/>
    <w:rsid w:val="413E672E"/>
    <w:rsid w:val="41464BB3"/>
    <w:rsid w:val="414F48F8"/>
    <w:rsid w:val="415B6C69"/>
    <w:rsid w:val="416C4232"/>
    <w:rsid w:val="417D0CB4"/>
    <w:rsid w:val="41AA5EC7"/>
    <w:rsid w:val="41AE57E0"/>
    <w:rsid w:val="41D50939"/>
    <w:rsid w:val="41E2138A"/>
    <w:rsid w:val="420332BF"/>
    <w:rsid w:val="42073526"/>
    <w:rsid w:val="421E2582"/>
    <w:rsid w:val="42215ABE"/>
    <w:rsid w:val="42316966"/>
    <w:rsid w:val="423827E0"/>
    <w:rsid w:val="42432054"/>
    <w:rsid w:val="426E3D4C"/>
    <w:rsid w:val="427E2A92"/>
    <w:rsid w:val="429077F8"/>
    <w:rsid w:val="4291353B"/>
    <w:rsid w:val="42B0114E"/>
    <w:rsid w:val="42B266F0"/>
    <w:rsid w:val="42B55311"/>
    <w:rsid w:val="42EB4EAE"/>
    <w:rsid w:val="42FD1AF4"/>
    <w:rsid w:val="43055620"/>
    <w:rsid w:val="430868ED"/>
    <w:rsid w:val="43122CC3"/>
    <w:rsid w:val="431D6872"/>
    <w:rsid w:val="4348464B"/>
    <w:rsid w:val="43625D0C"/>
    <w:rsid w:val="43712331"/>
    <w:rsid w:val="43743CAC"/>
    <w:rsid w:val="43AF5299"/>
    <w:rsid w:val="43C022E7"/>
    <w:rsid w:val="43D32A25"/>
    <w:rsid w:val="43D95701"/>
    <w:rsid w:val="43F549B0"/>
    <w:rsid w:val="440F5960"/>
    <w:rsid w:val="44135B0F"/>
    <w:rsid w:val="44192AD3"/>
    <w:rsid w:val="444969E0"/>
    <w:rsid w:val="444B7A63"/>
    <w:rsid w:val="444E2555"/>
    <w:rsid w:val="44747C0E"/>
    <w:rsid w:val="447F04A4"/>
    <w:rsid w:val="448602B3"/>
    <w:rsid w:val="44C331FC"/>
    <w:rsid w:val="44C66C7F"/>
    <w:rsid w:val="451774AD"/>
    <w:rsid w:val="452510A4"/>
    <w:rsid w:val="452E51D1"/>
    <w:rsid w:val="4530055D"/>
    <w:rsid w:val="453033AB"/>
    <w:rsid w:val="453668AE"/>
    <w:rsid w:val="454B1982"/>
    <w:rsid w:val="455C3C07"/>
    <w:rsid w:val="455D0F3D"/>
    <w:rsid w:val="45B52235"/>
    <w:rsid w:val="45C3152B"/>
    <w:rsid w:val="45E67226"/>
    <w:rsid w:val="45F85F95"/>
    <w:rsid w:val="46043434"/>
    <w:rsid w:val="46063A88"/>
    <w:rsid w:val="460715E7"/>
    <w:rsid w:val="461A78FB"/>
    <w:rsid w:val="461B6007"/>
    <w:rsid w:val="461E4A09"/>
    <w:rsid w:val="46214427"/>
    <w:rsid w:val="462B636B"/>
    <w:rsid w:val="464734EB"/>
    <w:rsid w:val="464C2EB7"/>
    <w:rsid w:val="466703CF"/>
    <w:rsid w:val="466A3A71"/>
    <w:rsid w:val="467C0F78"/>
    <w:rsid w:val="46920A6F"/>
    <w:rsid w:val="469E6DEA"/>
    <w:rsid w:val="46A66ADC"/>
    <w:rsid w:val="46AD0388"/>
    <w:rsid w:val="46AD0D93"/>
    <w:rsid w:val="46AD3FF4"/>
    <w:rsid w:val="46AF76CC"/>
    <w:rsid w:val="46BF4EB4"/>
    <w:rsid w:val="46CE6D64"/>
    <w:rsid w:val="46D87369"/>
    <w:rsid w:val="46E44B0A"/>
    <w:rsid w:val="46EF0CA7"/>
    <w:rsid w:val="46F94EC9"/>
    <w:rsid w:val="471E3798"/>
    <w:rsid w:val="471E621E"/>
    <w:rsid w:val="47387CFE"/>
    <w:rsid w:val="47413A43"/>
    <w:rsid w:val="4752395B"/>
    <w:rsid w:val="475771E4"/>
    <w:rsid w:val="47633879"/>
    <w:rsid w:val="476F61DF"/>
    <w:rsid w:val="47717D2A"/>
    <w:rsid w:val="47796D4B"/>
    <w:rsid w:val="477B069A"/>
    <w:rsid w:val="4787223F"/>
    <w:rsid w:val="47893343"/>
    <w:rsid w:val="47B2394A"/>
    <w:rsid w:val="47BE156E"/>
    <w:rsid w:val="47D946B7"/>
    <w:rsid w:val="4803792D"/>
    <w:rsid w:val="480510FC"/>
    <w:rsid w:val="481F13DA"/>
    <w:rsid w:val="483201D5"/>
    <w:rsid w:val="48776C75"/>
    <w:rsid w:val="487A4334"/>
    <w:rsid w:val="48C453B7"/>
    <w:rsid w:val="48F67086"/>
    <w:rsid w:val="48FE664F"/>
    <w:rsid w:val="49145614"/>
    <w:rsid w:val="493F7773"/>
    <w:rsid w:val="494B2B61"/>
    <w:rsid w:val="49662354"/>
    <w:rsid w:val="49683A46"/>
    <w:rsid w:val="49772732"/>
    <w:rsid w:val="49A67675"/>
    <w:rsid w:val="49B01DFD"/>
    <w:rsid w:val="49C646AF"/>
    <w:rsid w:val="49D370A0"/>
    <w:rsid w:val="49E20DDD"/>
    <w:rsid w:val="49E436D0"/>
    <w:rsid w:val="4A131573"/>
    <w:rsid w:val="4A15390F"/>
    <w:rsid w:val="4A2C57D4"/>
    <w:rsid w:val="4A3200EB"/>
    <w:rsid w:val="4A586F91"/>
    <w:rsid w:val="4A64130E"/>
    <w:rsid w:val="4A65172E"/>
    <w:rsid w:val="4A6533D8"/>
    <w:rsid w:val="4A9640C4"/>
    <w:rsid w:val="4A964DC8"/>
    <w:rsid w:val="4A9C5C7C"/>
    <w:rsid w:val="4AC4636A"/>
    <w:rsid w:val="4AC66387"/>
    <w:rsid w:val="4AE03F73"/>
    <w:rsid w:val="4AF70735"/>
    <w:rsid w:val="4B056255"/>
    <w:rsid w:val="4B0C45D2"/>
    <w:rsid w:val="4B5B7953"/>
    <w:rsid w:val="4B5C4F0C"/>
    <w:rsid w:val="4B6074BB"/>
    <w:rsid w:val="4B744654"/>
    <w:rsid w:val="4B7F40E5"/>
    <w:rsid w:val="4B88493E"/>
    <w:rsid w:val="4B9E6A4A"/>
    <w:rsid w:val="4BB564CA"/>
    <w:rsid w:val="4BE93E97"/>
    <w:rsid w:val="4BF14B35"/>
    <w:rsid w:val="4C0F63B2"/>
    <w:rsid w:val="4C2148FF"/>
    <w:rsid w:val="4C270417"/>
    <w:rsid w:val="4C503DDB"/>
    <w:rsid w:val="4C7E3398"/>
    <w:rsid w:val="4C8725CD"/>
    <w:rsid w:val="4CEF6570"/>
    <w:rsid w:val="4D177A88"/>
    <w:rsid w:val="4D1B0FAF"/>
    <w:rsid w:val="4D1E762A"/>
    <w:rsid w:val="4D3504CD"/>
    <w:rsid w:val="4D9C41D3"/>
    <w:rsid w:val="4DAB2327"/>
    <w:rsid w:val="4DBF2A34"/>
    <w:rsid w:val="4DC6050C"/>
    <w:rsid w:val="4DCA1B63"/>
    <w:rsid w:val="4DF73C56"/>
    <w:rsid w:val="4DFF48D7"/>
    <w:rsid w:val="4E0D6929"/>
    <w:rsid w:val="4E2017BD"/>
    <w:rsid w:val="4E3824F0"/>
    <w:rsid w:val="4EAD63DC"/>
    <w:rsid w:val="4EAF314A"/>
    <w:rsid w:val="4EE616D5"/>
    <w:rsid w:val="4F09010A"/>
    <w:rsid w:val="4F0D65E2"/>
    <w:rsid w:val="4F2A5377"/>
    <w:rsid w:val="4F2A776E"/>
    <w:rsid w:val="4F34539D"/>
    <w:rsid w:val="4F36286A"/>
    <w:rsid w:val="4F504227"/>
    <w:rsid w:val="4F7F2021"/>
    <w:rsid w:val="4FA32934"/>
    <w:rsid w:val="4FAB737F"/>
    <w:rsid w:val="4FBE6428"/>
    <w:rsid w:val="4FE23CEE"/>
    <w:rsid w:val="4FFB252B"/>
    <w:rsid w:val="5008551D"/>
    <w:rsid w:val="50092040"/>
    <w:rsid w:val="501C0D5D"/>
    <w:rsid w:val="501E0354"/>
    <w:rsid w:val="501E705F"/>
    <w:rsid w:val="502603BF"/>
    <w:rsid w:val="504D48EB"/>
    <w:rsid w:val="50631515"/>
    <w:rsid w:val="507550C2"/>
    <w:rsid w:val="50820C64"/>
    <w:rsid w:val="50956B7E"/>
    <w:rsid w:val="50A50557"/>
    <w:rsid w:val="50B50D57"/>
    <w:rsid w:val="50C65939"/>
    <w:rsid w:val="50C848D6"/>
    <w:rsid w:val="50D0287E"/>
    <w:rsid w:val="50D65E5D"/>
    <w:rsid w:val="50DC23A1"/>
    <w:rsid w:val="50DD689F"/>
    <w:rsid w:val="51201D56"/>
    <w:rsid w:val="51280015"/>
    <w:rsid w:val="51326202"/>
    <w:rsid w:val="51460714"/>
    <w:rsid w:val="519B133E"/>
    <w:rsid w:val="51C44D37"/>
    <w:rsid w:val="51D02D0A"/>
    <w:rsid w:val="51D312E8"/>
    <w:rsid w:val="51EF2649"/>
    <w:rsid w:val="51EF69CC"/>
    <w:rsid w:val="51F96829"/>
    <w:rsid w:val="52095930"/>
    <w:rsid w:val="524250F8"/>
    <w:rsid w:val="524B7FB5"/>
    <w:rsid w:val="5250748C"/>
    <w:rsid w:val="525F0899"/>
    <w:rsid w:val="52657E33"/>
    <w:rsid w:val="52702ED9"/>
    <w:rsid w:val="528D2296"/>
    <w:rsid w:val="52B56CAA"/>
    <w:rsid w:val="52E82FB1"/>
    <w:rsid w:val="52EE7B26"/>
    <w:rsid w:val="53107B0A"/>
    <w:rsid w:val="53180C00"/>
    <w:rsid w:val="531A0EDD"/>
    <w:rsid w:val="53234805"/>
    <w:rsid w:val="53732843"/>
    <w:rsid w:val="539439CC"/>
    <w:rsid w:val="539B130F"/>
    <w:rsid w:val="53CF2ABD"/>
    <w:rsid w:val="542720D3"/>
    <w:rsid w:val="542B3BD6"/>
    <w:rsid w:val="544A67B9"/>
    <w:rsid w:val="544B75AD"/>
    <w:rsid w:val="54602459"/>
    <w:rsid w:val="54811CC9"/>
    <w:rsid w:val="549A0B5D"/>
    <w:rsid w:val="549D0CBC"/>
    <w:rsid w:val="549D6724"/>
    <w:rsid w:val="54CC7DA2"/>
    <w:rsid w:val="54DD6A56"/>
    <w:rsid w:val="55090618"/>
    <w:rsid w:val="551E0802"/>
    <w:rsid w:val="553371E8"/>
    <w:rsid w:val="55445A4D"/>
    <w:rsid w:val="55477854"/>
    <w:rsid w:val="55491E46"/>
    <w:rsid w:val="554F2AC3"/>
    <w:rsid w:val="55795CC7"/>
    <w:rsid w:val="55876F23"/>
    <w:rsid w:val="558A4BD0"/>
    <w:rsid w:val="558F0D18"/>
    <w:rsid w:val="55967BC2"/>
    <w:rsid w:val="55C32A96"/>
    <w:rsid w:val="55E06F6F"/>
    <w:rsid w:val="55F951C2"/>
    <w:rsid w:val="56095A91"/>
    <w:rsid w:val="56160175"/>
    <w:rsid w:val="561D195A"/>
    <w:rsid w:val="56376BFE"/>
    <w:rsid w:val="56490008"/>
    <w:rsid w:val="564E0B5B"/>
    <w:rsid w:val="56675F90"/>
    <w:rsid w:val="566764AA"/>
    <w:rsid w:val="567359C3"/>
    <w:rsid w:val="56767171"/>
    <w:rsid w:val="56774421"/>
    <w:rsid w:val="568B4087"/>
    <w:rsid w:val="569B0E5E"/>
    <w:rsid w:val="575915D6"/>
    <w:rsid w:val="57644F88"/>
    <w:rsid w:val="57656F77"/>
    <w:rsid w:val="578A57CB"/>
    <w:rsid w:val="57A554C1"/>
    <w:rsid w:val="57A83FE5"/>
    <w:rsid w:val="57B1050E"/>
    <w:rsid w:val="57B51BAC"/>
    <w:rsid w:val="57CB45B2"/>
    <w:rsid w:val="580979AC"/>
    <w:rsid w:val="58294027"/>
    <w:rsid w:val="58344352"/>
    <w:rsid w:val="583A63C2"/>
    <w:rsid w:val="58487543"/>
    <w:rsid w:val="584F0603"/>
    <w:rsid w:val="586408AE"/>
    <w:rsid w:val="5877516A"/>
    <w:rsid w:val="58820718"/>
    <w:rsid w:val="58845C02"/>
    <w:rsid w:val="58846A12"/>
    <w:rsid w:val="58855EFF"/>
    <w:rsid w:val="58985EB9"/>
    <w:rsid w:val="58A10100"/>
    <w:rsid w:val="58A7021C"/>
    <w:rsid w:val="58B30633"/>
    <w:rsid w:val="58D37407"/>
    <w:rsid w:val="58D659B3"/>
    <w:rsid w:val="58D672A7"/>
    <w:rsid w:val="58F87576"/>
    <w:rsid w:val="58F9126B"/>
    <w:rsid w:val="5913239A"/>
    <w:rsid w:val="591959BF"/>
    <w:rsid w:val="591A01F6"/>
    <w:rsid w:val="591B37B6"/>
    <w:rsid w:val="591F6F44"/>
    <w:rsid w:val="59341AEF"/>
    <w:rsid w:val="59567D97"/>
    <w:rsid w:val="59A60805"/>
    <w:rsid w:val="59AD375F"/>
    <w:rsid w:val="59D34098"/>
    <w:rsid w:val="59DD74BB"/>
    <w:rsid w:val="5A2F296A"/>
    <w:rsid w:val="5A36696B"/>
    <w:rsid w:val="5A416004"/>
    <w:rsid w:val="5A4255EA"/>
    <w:rsid w:val="5A4F6D6F"/>
    <w:rsid w:val="5A5C2A6E"/>
    <w:rsid w:val="5A6630CB"/>
    <w:rsid w:val="5A856784"/>
    <w:rsid w:val="5AA0650B"/>
    <w:rsid w:val="5AAA7BCF"/>
    <w:rsid w:val="5ADA21E1"/>
    <w:rsid w:val="5AE60E9C"/>
    <w:rsid w:val="5AE73D6D"/>
    <w:rsid w:val="5B1A4A0F"/>
    <w:rsid w:val="5B3916F8"/>
    <w:rsid w:val="5B4E060A"/>
    <w:rsid w:val="5B557BE4"/>
    <w:rsid w:val="5B79747A"/>
    <w:rsid w:val="5BC235C4"/>
    <w:rsid w:val="5BD33F99"/>
    <w:rsid w:val="5BD47684"/>
    <w:rsid w:val="5BE36CFB"/>
    <w:rsid w:val="5BE46588"/>
    <w:rsid w:val="5BF41FB6"/>
    <w:rsid w:val="5BF6163A"/>
    <w:rsid w:val="5BFE5856"/>
    <w:rsid w:val="5C040268"/>
    <w:rsid w:val="5C13695E"/>
    <w:rsid w:val="5C1B30D6"/>
    <w:rsid w:val="5C3E7984"/>
    <w:rsid w:val="5CA72F2B"/>
    <w:rsid w:val="5CA96E90"/>
    <w:rsid w:val="5CAC081B"/>
    <w:rsid w:val="5CF73645"/>
    <w:rsid w:val="5D317D21"/>
    <w:rsid w:val="5D6113BD"/>
    <w:rsid w:val="5D6932AC"/>
    <w:rsid w:val="5D705830"/>
    <w:rsid w:val="5D725E9C"/>
    <w:rsid w:val="5D942926"/>
    <w:rsid w:val="5DA86DAF"/>
    <w:rsid w:val="5DB434A3"/>
    <w:rsid w:val="5DD10FBE"/>
    <w:rsid w:val="5DE11842"/>
    <w:rsid w:val="5DF7062B"/>
    <w:rsid w:val="5E0615F5"/>
    <w:rsid w:val="5E086860"/>
    <w:rsid w:val="5E260E41"/>
    <w:rsid w:val="5E295BBA"/>
    <w:rsid w:val="5E2B1FED"/>
    <w:rsid w:val="5E6F49B2"/>
    <w:rsid w:val="5E7A0958"/>
    <w:rsid w:val="5E7E5DA9"/>
    <w:rsid w:val="5E8009CD"/>
    <w:rsid w:val="5E804826"/>
    <w:rsid w:val="5E8A2FAF"/>
    <w:rsid w:val="5ECB2528"/>
    <w:rsid w:val="5ED63965"/>
    <w:rsid w:val="5EE0378C"/>
    <w:rsid w:val="5EFF6B3F"/>
    <w:rsid w:val="5F0201F5"/>
    <w:rsid w:val="5F18045A"/>
    <w:rsid w:val="5F260C71"/>
    <w:rsid w:val="5F2E4633"/>
    <w:rsid w:val="5F3D7D0E"/>
    <w:rsid w:val="5F405331"/>
    <w:rsid w:val="5F4C2350"/>
    <w:rsid w:val="5FC9135B"/>
    <w:rsid w:val="5FE404A9"/>
    <w:rsid w:val="5FE84F46"/>
    <w:rsid w:val="6000742B"/>
    <w:rsid w:val="60360482"/>
    <w:rsid w:val="60470842"/>
    <w:rsid w:val="604A4AB3"/>
    <w:rsid w:val="60585D62"/>
    <w:rsid w:val="6074415B"/>
    <w:rsid w:val="607A7550"/>
    <w:rsid w:val="60843CE2"/>
    <w:rsid w:val="608C26BF"/>
    <w:rsid w:val="60BC4C42"/>
    <w:rsid w:val="60D31562"/>
    <w:rsid w:val="60E93AC5"/>
    <w:rsid w:val="60F46444"/>
    <w:rsid w:val="610B320E"/>
    <w:rsid w:val="610F2DCF"/>
    <w:rsid w:val="61143C12"/>
    <w:rsid w:val="611733FE"/>
    <w:rsid w:val="613500B2"/>
    <w:rsid w:val="61435AEB"/>
    <w:rsid w:val="61520B8C"/>
    <w:rsid w:val="61641A2F"/>
    <w:rsid w:val="6169184F"/>
    <w:rsid w:val="61780CEC"/>
    <w:rsid w:val="619A650C"/>
    <w:rsid w:val="61A664BE"/>
    <w:rsid w:val="61A918A5"/>
    <w:rsid w:val="61E17048"/>
    <w:rsid w:val="61E801A4"/>
    <w:rsid w:val="61EB0A4F"/>
    <w:rsid w:val="6204709A"/>
    <w:rsid w:val="621E485C"/>
    <w:rsid w:val="62292210"/>
    <w:rsid w:val="62307F29"/>
    <w:rsid w:val="624C570C"/>
    <w:rsid w:val="6294271D"/>
    <w:rsid w:val="62997F01"/>
    <w:rsid w:val="62A712AA"/>
    <w:rsid w:val="62A713B8"/>
    <w:rsid w:val="62B614BD"/>
    <w:rsid w:val="62BB0DDF"/>
    <w:rsid w:val="62C11600"/>
    <w:rsid w:val="62FD73FD"/>
    <w:rsid w:val="6312218F"/>
    <w:rsid w:val="631D043A"/>
    <w:rsid w:val="6321471F"/>
    <w:rsid w:val="63255B18"/>
    <w:rsid w:val="632E25A4"/>
    <w:rsid w:val="634211FD"/>
    <w:rsid w:val="63553D49"/>
    <w:rsid w:val="637670AD"/>
    <w:rsid w:val="638856B2"/>
    <w:rsid w:val="63BB2797"/>
    <w:rsid w:val="63C069E4"/>
    <w:rsid w:val="63E04B46"/>
    <w:rsid w:val="63F02146"/>
    <w:rsid w:val="6402638B"/>
    <w:rsid w:val="64054B62"/>
    <w:rsid w:val="641A5183"/>
    <w:rsid w:val="642743CD"/>
    <w:rsid w:val="644C69BE"/>
    <w:rsid w:val="64590714"/>
    <w:rsid w:val="64671A5F"/>
    <w:rsid w:val="64A23EE2"/>
    <w:rsid w:val="64C065CB"/>
    <w:rsid w:val="64C52C1E"/>
    <w:rsid w:val="6505144E"/>
    <w:rsid w:val="6510252E"/>
    <w:rsid w:val="6560397C"/>
    <w:rsid w:val="657B4159"/>
    <w:rsid w:val="6580756C"/>
    <w:rsid w:val="658E5E0F"/>
    <w:rsid w:val="65957F9B"/>
    <w:rsid w:val="65BF381B"/>
    <w:rsid w:val="65D94AD3"/>
    <w:rsid w:val="65DE67F2"/>
    <w:rsid w:val="65E50EF7"/>
    <w:rsid w:val="65F823F0"/>
    <w:rsid w:val="660C0398"/>
    <w:rsid w:val="66102F61"/>
    <w:rsid w:val="66226D5E"/>
    <w:rsid w:val="66260CC4"/>
    <w:rsid w:val="6628501F"/>
    <w:rsid w:val="66294471"/>
    <w:rsid w:val="66395331"/>
    <w:rsid w:val="66661EBD"/>
    <w:rsid w:val="667802FC"/>
    <w:rsid w:val="66854761"/>
    <w:rsid w:val="66876426"/>
    <w:rsid w:val="66A8522D"/>
    <w:rsid w:val="66C8007B"/>
    <w:rsid w:val="66CC70B3"/>
    <w:rsid w:val="66DA6020"/>
    <w:rsid w:val="66EA5387"/>
    <w:rsid w:val="67042DC7"/>
    <w:rsid w:val="670F27D3"/>
    <w:rsid w:val="67390021"/>
    <w:rsid w:val="676E6D94"/>
    <w:rsid w:val="676F0D27"/>
    <w:rsid w:val="67E93F61"/>
    <w:rsid w:val="67FD1698"/>
    <w:rsid w:val="67FE0D5D"/>
    <w:rsid w:val="680E31DC"/>
    <w:rsid w:val="681255F3"/>
    <w:rsid w:val="682776D0"/>
    <w:rsid w:val="68292572"/>
    <w:rsid w:val="682E090D"/>
    <w:rsid w:val="683823C6"/>
    <w:rsid w:val="683C2108"/>
    <w:rsid w:val="689446A2"/>
    <w:rsid w:val="68A54DB1"/>
    <w:rsid w:val="68AC536F"/>
    <w:rsid w:val="68C27273"/>
    <w:rsid w:val="68D61EDF"/>
    <w:rsid w:val="68EE0CB3"/>
    <w:rsid w:val="69176E58"/>
    <w:rsid w:val="691B0F00"/>
    <w:rsid w:val="69262F02"/>
    <w:rsid w:val="69374A69"/>
    <w:rsid w:val="694532D4"/>
    <w:rsid w:val="694F6B16"/>
    <w:rsid w:val="697231CE"/>
    <w:rsid w:val="697369AF"/>
    <w:rsid w:val="69774FF8"/>
    <w:rsid w:val="697C0526"/>
    <w:rsid w:val="697E19DB"/>
    <w:rsid w:val="699C48FB"/>
    <w:rsid w:val="69A13E48"/>
    <w:rsid w:val="69A63F0B"/>
    <w:rsid w:val="69C673B6"/>
    <w:rsid w:val="69D46173"/>
    <w:rsid w:val="69DE1E0D"/>
    <w:rsid w:val="69E82DA2"/>
    <w:rsid w:val="69FA4F9F"/>
    <w:rsid w:val="69FB1F78"/>
    <w:rsid w:val="69FC158C"/>
    <w:rsid w:val="6A0F1F96"/>
    <w:rsid w:val="6A0F5A2D"/>
    <w:rsid w:val="6A42551D"/>
    <w:rsid w:val="6A4C1225"/>
    <w:rsid w:val="6A60067A"/>
    <w:rsid w:val="6AB66D6B"/>
    <w:rsid w:val="6AC03A95"/>
    <w:rsid w:val="6AC1403E"/>
    <w:rsid w:val="6AFB5263"/>
    <w:rsid w:val="6AFF28FF"/>
    <w:rsid w:val="6B161F87"/>
    <w:rsid w:val="6B1869E5"/>
    <w:rsid w:val="6B1D15E8"/>
    <w:rsid w:val="6B3768EB"/>
    <w:rsid w:val="6B38611C"/>
    <w:rsid w:val="6B497B06"/>
    <w:rsid w:val="6BB65B17"/>
    <w:rsid w:val="6BF23ED8"/>
    <w:rsid w:val="6C1913F5"/>
    <w:rsid w:val="6C24156B"/>
    <w:rsid w:val="6C266987"/>
    <w:rsid w:val="6C4F7B10"/>
    <w:rsid w:val="6C577032"/>
    <w:rsid w:val="6C902EC1"/>
    <w:rsid w:val="6C9416D6"/>
    <w:rsid w:val="6CB84AC4"/>
    <w:rsid w:val="6CC7165A"/>
    <w:rsid w:val="6CE2433E"/>
    <w:rsid w:val="6CE323A2"/>
    <w:rsid w:val="6D044405"/>
    <w:rsid w:val="6D253209"/>
    <w:rsid w:val="6D2C1024"/>
    <w:rsid w:val="6D2C6B6A"/>
    <w:rsid w:val="6D45793B"/>
    <w:rsid w:val="6D4A20DF"/>
    <w:rsid w:val="6D5A4A8C"/>
    <w:rsid w:val="6D5E3853"/>
    <w:rsid w:val="6D720D16"/>
    <w:rsid w:val="6DBD75A6"/>
    <w:rsid w:val="6DC8357D"/>
    <w:rsid w:val="6DDB1E1F"/>
    <w:rsid w:val="6DEA206D"/>
    <w:rsid w:val="6E0070B5"/>
    <w:rsid w:val="6E2242FC"/>
    <w:rsid w:val="6E235C79"/>
    <w:rsid w:val="6E295613"/>
    <w:rsid w:val="6E2B07B3"/>
    <w:rsid w:val="6E3D5333"/>
    <w:rsid w:val="6E400EC5"/>
    <w:rsid w:val="6E796927"/>
    <w:rsid w:val="6E9A40A3"/>
    <w:rsid w:val="6EBA0655"/>
    <w:rsid w:val="6EDB41E1"/>
    <w:rsid w:val="6EEB422C"/>
    <w:rsid w:val="6EED0253"/>
    <w:rsid w:val="6F2C0427"/>
    <w:rsid w:val="6F3B0AC9"/>
    <w:rsid w:val="6F9258EA"/>
    <w:rsid w:val="6F9C59E1"/>
    <w:rsid w:val="6FA5629E"/>
    <w:rsid w:val="6FC610CC"/>
    <w:rsid w:val="6FDB6878"/>
    <w:rsid w:val="6FE16442"/>
    <w:rsid w:val="6FF07181"/>
    <w:rsid w:val="6FF1333F"/>
    <w:rsid w:val="6FFF5333"/>
    <w:rsid w:val="70031A61"/>
    <w:rsid w:val="701E2662"/>
    <w:rsid w:val="70213730"/>
    <w:rsid w:val="70360FAA"/>
    <w:rsid w:val="7059007C"/>
    <w:rsid w:val="706C4CB2"/>
    <w:rsid w:val="707C78D6"/>
    <w:rsid w:val="70A04F63"/>
    <w:rsid w:val="70AD6B0B"/>
    <w:rsid w:val="70CD6A8C"/>
    <w:rsid w:val="70D478BB"/>
    <w:rsid w:val="70D56442"/>
    <w:rsid w:val="70E7218A"/>
    <w:rsid w:val="70F92230"/>
    <w:rsid w:val="71005945"/>
    <w:rsid w:val="711D1EB6"/>
    <w:rsid w:val="711E0D2E"/>
    <w:rsid w:val="714747A7"/>
    <w:rsid w:val="715025F8"/>
    <w:rsid w:val="71687644"/>
    <w:rsid w:val="719C1447"/>
    <w:rsid w:val="71C668D2"/>
    <w:rsid w:val="71D8652D"/>
    <w:rsid w:val="71E02763"/>
    <w:rsid w:val="71F04484"/>
    <w:rsid w:val="7203422E"/>
    <w:rsid w:val="72165FF1"/>
    <w:rsid w:val="7229590C"/>
    <w:rsid w:val="72385D10"/>
    <w:rsid w:val="725E270E"/>
    <w:rsid w:val="72767035"/>
    <w:rsid w:val="72776146"/>
    <w:rsid w:val="72782714"/>
    <w:rsid w:val="7289422C"/>
    <w:rsid w:val="729E2032"/>
    <w:rsid w:val="729F62FB"/>
    <w:rsid w:val="72B71957"/>
    <w:rsid w:val="72BC75B7"/>
    <w:rsid w:val="72C2587F"/>
    <w:rsid w:val="72CE2518"/>
    <w:rsid w:val="72F01270"/>
    <w:rsid w:val="73251405"/>
    <w:rsid w:val="7336064F"/>
    <w:rsid w:val="73465AE4"/>
    <w:rsid w:val="739F17E1"/>
    <w:rsid w:val="73A52B74"/>
    <w:rsid w:val="73C20E25"/>
    <w:rsid w:val="74095A73"/>
    <w:rsid w:val="74161689"/>
    <w:rsid w:val="7450784E"/>
    <w:rsid w:val="74557806"/>
    <w:rsid w:val="7459076D"/>
    <w:rsid w:val="74797ACB"/>
    <w:rsid w:val="74853A0A"/>
    <w:rsid w:val="7491370C"/>
    <w:rsid w:val="74986390"/>
    <w:rsid w:val="74A00757"/>
    <w:rsid w:val="74AF76FB"/>
    <w:rsid w:val="74C4615E"/>
    <w:rsid w:val="74D20B89"/>
    <w:rsid w:val="74D955B1"/>
    <w:rsid w:val="74DD038A"/>
    <w:rsid w:val="74EE31C1"/>
    <w:rsid w:val="75007233"/>
    <w:rsid w:val="753B509A"/>
    <w:rsid w:val="755620CA"/>
    <w:rsid w:val="75731FD0"/>
    <w:rsid w:val="75761731"/>
    <w:rsid w:val="757A765C"/>
    <w:rsid w:val="758A3099"/>
    <w:rsid w:val="759871C8"/>
    <w:rsid w:val="75D04805"/>
    <w:rsid w:val="75E174C9"/>
    <w:rsid w:val="75ED59FD"/>
    <w:rsid w:val="75F61990"/>
    <w:rsid w:val="760A19CD"/>
    <w:rsid w:val="760F2252"/>
    <w:rsid w:val="762F15F9"/>
    <w:rsid w:val="76474E6E"/>
    <w:rsid w:val="766528BB"/>
    <w:rsid w:val="766B16D2"/>
    <w:rsid w:val="767718A2"/>
    <w:rsid w:val="769370E4"/>
    <w:rsid w:val="76B727BA"/>
    <w:rsid w:val="76B948BE"/>
    <w:rsid w:val="76BC285E"/>
    <w:rsid w:val="76C146D3"/>
    <w:rsid w:val="76C16194"/>
    <w:rsid w:val="76C83605"/>
    <w:rsid w:val="76E35329"/>
    <w:rsid w:val="7707291D"/>
    <w:rsid w:val="77145BAC"/>
    <w:rsid w:val="77275903"/>
    <w:rsid w:val="772B4FB8"/>
    <w:rsid w:val="77571550"/>
    <w:rsid w:val="77642710"/>
    <w:rsid w:val="77673A21"/>
    <w:rsid w:val="777D2BF7"/>
    <w:rsid w:val="778F090A"/>
    <w:rsid w:val="779A4847"/>
    <w:rsid w:val="77A3792C"/>
    <w:rsid w:val="77A80472"/>
    <w:rsid w:val="77B5151D"/>
    <w:rsid w:val="77BA2C07"/>
    <w:rsid w:val="77F40934"/>
    <w:rsid w:val="77F766D7"/>
    <w:rsid w:val="78077E49"/>
    <w:rsid w:val="78217442"/>
    <w:rsid w:val="7836325D"/>
    <w:rsid w:val="78477936"/>
    <w:rsid w:val="784D60F8"/>
    <w:rsid w:val="78756F24"/>
    <w:rsid w:val="788C1DF0"/>
    <w:rsid w:val="7899094F"/>
    <w:rsid w:val="78AE54E6"/>
    <w:rsid w:val="78B63393"/>
    <w:rsid w:val="78C72993"/>
    <w:rsid w:val="78DC209B"/>
    <w:rsid w:val="78F351B6"/>
    <w:rsid w:val="791349AA"/>
    <w:rsid w:val="792F2C20"/>
    <w:rsid w:val="79395B4F"/>
    <w:rsid w:val="7954490C"/>
    <w:rsid w:val="79610FF2"/>
    <w:rsid w:val="79C32141"/>
    <w:rsid w:val="79D44B53"/>
    <w:rsid w:val="79E41530"/>
    <w:rsid w:val="7A02714D"/>
    <w:rsid w:val="7A0E1AA9"/>
    <w:rsid w:val="7A1E6CF7"/>
    <w:rsid w:val="7A3B282B"/>
    <w:rsid w:val="7A6B635B"/>
    <w:rsid w:val="7AAA0E95"/>
    <w:rsid w:val="7ACB3660"/>
    <w:rsid w:val="7AD456F6"/>
    <w:rsid w:val="7AF82546"/>
    <w:rsid w:val="7AFE32FA"/>
    <w:rsid w:val="7B120C32"/>
    <w:rsid w:val="7B172DAE"/>
    <w:rsid w:val="7B1C35EF"/>
    <w:rsid w:val="7B2762C3"/>
    <w:rsid w:val="7B2C2B59"/>
    <w:rsid w:val="7B2E6A9B"/>
    <w:rsid w:val="7B392624"/>
    <w:rsid w:val="7B493EE4"/>
    <w:rsid w:val="7B717B60"/>
    <w:rsid w:val="7B844A1D"/>
    <w:rsid w:val="7B871EA6"/>
    <w:rsid w:val="7B972056"/>
    <w:rsid w:val="7BA10DEF"/>
    <w:rsid w:val="7BB76E70"/>
    <w:rsid w:val="7BE07B7E"/>
    <w:rsid w:val="7BF7545D"/>
    <w:rsid w:val="7C0A6C9E"/>
    <w:rsid w:val="7C13060D"/>
    <w:rsid w:val="7C493A47"/>
    <w:rsid w:val="7C5A5AAB"/>
    <w:rsid w:val="7C831930"/>
    <w:rsid w:val="7CCF64BE"/>
    <w:rsid w:val="7CDA1729"/>
    <w:rsid w:val="7D0D7610"/>
    <w:rsid w:val="7D1511CD"/>
    <w:rsid w:val="7D312E59"/>
    <w:rsid w:val="7D3B11E8"/>
    <w:rsid w:val="7D4F2969"/>
    <w:rsid w:val="7D855C38"/>
    <w:rsid w:val="7D86037E"/>
    <w:rsid w:val="7DA243DB"/>
    <w:rsid w:val="7DBF5BE0"/>
    <w:rsid w:val="7DCC6B6A"/>
    <w:rsid w:val="7DE806EC"/>
    <w:rsid w:val="7DEE2A37"/>
    <w:rsid w:val="7DFE31C4"/>
    <w:rsid w:val="7E0574C1"/>
    <w:rsid w:val="7E2217F7"/>
    <w:rsid w:val="7E24535B"/>
    <w:rsid w:val="7E256B88"/>
    <w:rsid w:val="7E4D4AF5"/>
    <w:rsid w:val="7E4E04A0"/>
    <w:rsid w:val="7E6D53DE"/>
    <w:rsid w:val="7EA9278F"/>
    <w:rsid w:val="7EBD3260"/>
    <w:rsid w:val="7EBE0FBF"/>
    <w:rsid w:val="7EBF62A3"/>
    <w:rsid w:val="7ED960BD"/>
    <w:rsid w:val="7F025F18"/>
    <w:rsid w:val="7F123263"/>
    <w:rsid w:val="7F255D57"/>
    <w:rsid w:val="7F32394D"/>
    <w:rsid w:val="7F324672"/>
    <w:rsid w:val="7F44035C"/>
    <w:rsid w:val="7F5C1EF3"/>
    <w:rsid w:val="7F905E73"/>
    <w:rsid w:val="7F915817"/>
    <w:rsid w:val="7FE20CA3"/>
    <w:rsid w:val="7FED5E1F"/>
    <w:rsid w:val="7FF7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4" w:uiPriority="99" w:qFormat="1"/>
    <w:lsdException w:name="toc 1" w:qFormat="1"/>
    <w:lsdException w:name="toc 2" w:qFormat="1"/>
    <w:lsdException w:name="toc 3" w:qFormat="1"/>
    <w:lsdException w:name="Normal Indent" w:qFormat="1"/>
    <w:lsdException w:name="annotation text" w:qFormat="1"/>
    <w:lsdException w:name="header" w:qFormat="1"/>
    <w:lsdException w:name="footer" w:uiPriority="99" w:qFormat="1"/>
    <w:lsdException w:name="index heading" w:qFormat="1"/>
    <w:lsdException w:name="caption" w:unhideWhenUsed="1" w:qFormat="1"/>
    <w:lsdException w:name="annotation reference"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tabs>
        <w:tab w:val="left" w:pos="1440"/>
      </w:tabs>
      <w:spacing w:before="340" w:after="330" w:line="576" w:lineRule="auto"/>
      <w:outlineLvl w:val="0"/>
    </w:pPr>
    <w:rPr>
      <w:b/>
      <w:bCs/>
      <w:kern w:val="44"/>
      <w:sz w:val="44"/>
      <w:szCs w:val="44"/>
    </w:rPr>
  </w:style>
  <w:style w:type="paragraph" w:styleId="2">
    <w:name w:val="heading 2"/>
    <w:basedOn w:val="a"/>
    <w:next w:val="a"/>
    <w:unhideWhenUsed/>
    <w:qFormat/>
    <w:pPr>
      <w:keepNext/>
      <w:keepLines/>
      <w:tabs>
        <w:tab w:val="left" w:pos="720"/>
      </w:tabs>
      <w:spacing w:before="260" w:after="260" w:line="413" w:lineRule="auto"/>
      <w:outlineLvl w:val="1"/>
    </w:pPr>
    <w:rPr>
      <w:rFonts w:ascii="Arial" w:eastAsia="黑体" w:hAnsi="Arial"/>
      <w:b/>
      <w:bCs/>
      <w:sz w:val="32"/>
      <w:szCs w:val="32"/>
    </w:rPr>
  </w:style>
  <w:style w:type="paragraph" w:styleId="3">
    <w:name w:val="heading 3"/>
    <w:basedOn w:val="a"/>
    <w:next w:val="a"/>
    <w:unhideWhenUsed/>
    <w:qFormat/>
    <w:pPr>
      <w:keepNext/>
      <w:keepLines/>
      <w:tabs>
        <w:tab w:val="left" w:pos="720"/>
      </w:tabs>
      <w:spacing w:before="260" w:after="260" w:line="413" w:lineRule="auto"/>
      <w:ind w:left="720" w:hanging="432"/>
      <w:outlineLvl w:val="2"/>
    </w:pPr>
    <w:rPr>
      <w:b/>
      <w:bCs/>
      <w:sz w:val="32"/>
      <w:szCs w:val="32"/>
    </w:rPr>
  </w:style>
  <w:style w:type="paragraph" w:styleId="40">
    <w:name w:val="heading 4"/>
    <w:basedOn w:val="a"/>
    <w:next w:val="a"/>
    <w:unhideWhenUsed/>
    <w:qFormat/>
    <w:pPr>
      <w:keepNext/>
      <w:keepLines/>
      <w:spacing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qFormat/>
    <w:pPr>
      <w:ind w:leftChars="600" w:left="600"/>
    </w:pPr>
  </w:style>
  <w:style w:type="paragraph" w:styleId="a3">
    <w:name w:val="Normal Indent"/>
    <w:basedOn w:val="a"/>
    <w:qFormat/>
    <w:pPr>
      <w:ind w:firstLine="420"/>
    </w:pPr>
    <w:rPr>
      <w:szCs w:val="20"/>
    </w:rPr>
  </w:style>
  <w:style w:type="paragraph" w:styleId="a4">
    <w:name w:val="caption"/>
    <w:basedOn w:val="a"/>
    <w:next w:val="a"/>
    <w:unhideWhenUsed/>
    <w:qFormat/>
    <w:rPr>
      <w:rFonts w:ascii="Cambria" w:eastAsia="黑体" w:hAnsi="Cambria" w:cs="Times New Roman"/>
      <w:sz w:val="20"/>
      <w:szCs w:val="20"/>
    </w:rPr>
  </w:style>
  <w:style w:type="paragraph" w:styleId="a5">
    <w:name w:val="annotation text"/>
    <w:basedOn w:val="a"/>
    <w:link w:val="Char"/>
    <w:qFormat/>
    <w:pPr>
      <w:jc w:val="left"/>
    </w:pPr>
  </w:style>
  <w:style w:type="paragraph" w:styleId="a6">
    <w:name w:val="Body Text"/>
    <w:basedOn w:val="a"/>
    <w:uiPriority w:val="99"/>
    <w:unhideWhenUsed/>
    <w:qFormat/>
    <w:rPr>
      <w:sz w:val="28"/>
    </w:rPr>
  </w:style>
  <w:style w:type="paragraph" w:styleId="30">
    <w:name w:val="toc 3"/>
    <w:basedOn w:val="a"/>
    <w:next w:val="a"/>
    <w:qFormat/>
    <w:pPr>
      <w:ind w:leftChars="400" w:left="840"/>
    </w:pPr>
  </w:style>
  <w:style w:type="paragraph" w:styleId="a7">
    <w:name w:val="Plain Text"/>
    <w:basedOn w:val="a"/>
    <w:qFormat/>
    <w:rPr>
      <w:rFonts w:ascii="宋体" w:hAnsi="Courier New"/>
    </w:rPr>
  </w:style>
  <w:style w:type="paragraph" w:styleId="a8">
    <w:name w:val="Date"/>
    <w:basedOn w:val="a"/>
    <w:next w:val="a"/>
    <w:qFormat/>
    <w:pPr>
      <w:ind w:leftChars="2500" w:left="100"/>
    </w:pPr>
  </w:style>
  <w:style w:type="paragraph" w:styleId="a9">
    <w:name w:val="Balloon Text"/>
    <w:basedOn w:val="a"/>
    <w:link w:val="Char0"/>
    <w:qFormat/>
    <w:rPr>
      <w:sz w:val="18"/>
      <w:szCs w:val="18"/>
    </w:rPr>
  </w:style>
  <w:style w:type="paragraph" w:styleId="aa">
    <w:name w:val="footer"/>
    <w:basedOn w:val="a"/>
    <w:link w:val="Char1"/>
    <w:uiPriority w:val="99"/>
    <w:qFormat/>
    <w:pPr>
      <w:tabs>
        <w:tab w:val="center" w:pos="4153"/>
        <w:tab w:val="right" w:pos="8306"/>
      </w:tabs>
      <w:snapToGrid w:val="0"/>
      <w:jc w:val="left"/>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c">
    <w:name w:val="index heading"/>
    <w:basedOn w:val="a"/>
    <w:next w:val="11"/>
    <w:qFormat/>
    <w:rPr>
      <w:szCs w:val="20"/>
    </w:rPr>
  </w:style>
  <w:style w:type="paragraph" w:styleId="11">
    <w:name w:val="index 1"/>
    <w:basedOn w:val="a"/>
    <w:next w:val="a"/>
    <w:qFormat/>
    <w:rPr>
      <w:szCs w:val="20"/>
    </w:rPr>
  </w:style>
  <w:style w:type="paragraph" w:styleId="20">
    <w:name w:val="toc 2"/>
    <w:basedOn w:val="a"/>
    <w:next w:val="a"/>
    <w:qFormat/>
    <w:pPr>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e">
    <w:name w:val="Title"/>
    <w:basedOn w:val="a"/>
    <w:next w:val="a"/>
    <w:uiPriority w:val="10"/>
    <w:qFormat/>
    <w:pPr>
      <w:spacing w:before="240" w:after="60"/>
      <w:jc w:val="center"/>
      <w:outlineLvl w:val="0"/>
    </w:pPr>
    <w:rPr>
      <w:rFonts w:ascii="Cambria" w:hAnsi="Cambria"/>
      <w:b/>
      <w:bCs/>
      <w:sz w:val="32"/>
      <w:szCs w:val="32"/>
    </w:rPr>
  </w:style>
  <w:style w:type="paragraph" w:styleId="af">
    <w:name w:val="annotation subject"/>
    <w:basedOn w:val="a5"/>
    <w:next w:val="a5"/>
    <w:link w:val="Char2"/>
    <w:qFormat/>
    <w:rPr>
      <w:b/>
      <w:bCs/>
    </w:rPr>
  </w:style>
  <w:style w:type="table" w:styleId="af0">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0"/>
    <w:qFormat/>
    <w:rPr>
      <w:rFonts w:ascii="Tahoma" w:eastAsia="宋体" w:hAnsi="Tahoma" w:cs="Tahoma" w:hint="default"/>
      <w:b/>
      <w:bCs/>
      <w:spacing w:val="10"/>
      <w:sz w:val="24"/>
      <w:lang w:val="en-US" w:eastAsia="zh-CN" w:bidi="ar-SA"/>
    </w:rPr>
  </w:style>
  <w:style w:type="character" w:styleId="af2">
    <w:name w:val="annotation reference"/>
    <w:basedOn w:val="a0"/>
    <w:qFormat/>
    <w:rPr>
      <w:sz w:val="21"/>
      <w:szCs w:val="21"/>
    </w:rPr>
  </w:style>
  <w:style w:type="paragraph" w:customStyle="1" w:styleId="af3">
    <w:name w:val="正文（缩进）"/>
    <w:basedOn w:val="a"/>
    <w:qFormat/>
    <w:pPr>
      <w:spacing w:before="156" w:after="156"/>
      <w:ind w:firstLineChars="200" w:firstLine="480"/>
    </w:pPr>
  </w:style>
  <w:style w:type="paragraph" w:customStyle="1" w:styleId="af4">
    <w:name w:val="普通正文"/>
    <w:basedOn w:val="a"/>
    <w:uiPriority w:val="99"/>
    <w:qFormat/>
    <w:pPr>
      <w:widowControl/>
      <w:spacing w:line="360" w:lineRule="atLeast"/>
      <w:ind w:firstLine="425"/>
    </w:pPr>
    <w:rPr>
      <w:kern w:val="21"/>
      <w:szCs w:val="20"/>
    </w:rPr>
  </w:style>
  <w:style w:type="character" w:customStyle="1" w:styleId="p141">
    <w:name w:val="p141"/>
    <w:qFormat/>
    <w:rPr>
      <w:sz w:val="21"/>
    </w:rPr>
  </w:style>
  <w:style w:type="paragraph" w:customStyle="1" w:styleId="af5">
    <w:name w:val="表格文字"/>
    <w:basedOn w:val="a"/>
    <w:qFormat/>
    <w:pPr>
      <w:spacing w:before="25" w:after="25"/>
      <w:jc w:val="left"/>
    </w:pPr>
    <w:rPr>
      <w:bCs/>
      <w:spacing w:val="10"/>
      <w:kern w:val="0"/>
      <w:sz w:val="24"/>
      <w:szCs w:val="20"/>
    </w:rPr>
  </w:style>
  <w:style w:type="paragraph" w:customStyle="1" w:styleId="af6">
    <w:name w:val="图"/>
    <w:basedOn w:val="a"/>
    <w:qFormat/>
    <w:pPr>
      <w:keepNext/>
      <w:adjustRightInd w:val="0"/>
      <w:spacing w:line="300" w:lineRule="auto"/>
      <w:jc w:val="center"/>
      <w:textAlignment w:val="center"/>
    </w:pPr>
    <w:rPr>
      <w:snapToGrid w:val="0"/>
      <w:spacing w:val="20"/>
      <w:kern w:val="0"/>
      <w:sz w:val="24"/>
      <w:szCs w:val="20"/>
    </w:rPr>
  </w:style>
  <w:style w:type="paragraph" w:customStyle="1" w:styleId="5">
    <w:name w:val="题注5"/>
    <w:basedOn w:val="a"/>
    <w:next w:val="a4"/>
    <w:qFormat/>
    <w:pPr>
      <w:jc w:val="center"/>
    </w:pPr>
    <w:rPr>
      <w:b/>
      <w:color w:val="000000"/>
      <w:sz w:val="24"/>
      <w:szCs w:val="21"/>
    </w:rPr>
  </w:style>
  <w:style w:type="paragraph" w:customStyle="1" w:styleId="12">
    <w:name w:val="1册标题2"/>
    <w:basedOn w:val="a"/>
    <w:next w:val="a"/>
    <w:qFormat/>
    <w:pPr>
      <w:adjustRightInd w:val="0"/>
      <w:spacing w:beforeLines="50" w:afterLines="50" w:line="300" w:lineRule="auto"/>
      <w:jc w:val="center"/>
      <w:textAlignment w:val="baseline"/>
      <w:outlineLvl w:val="1"/>
    </w:pPr>
    <w:rPr>
      <w:rFonts w:ascii="Arial" w:eastAsia="黑体" w:hAnsi="Arial"/>
      <w:bCs/>
      <w:kern w:val="0"/>
      <w:sz w:val="32"/>
    </w:rPr>
  </w:style>
  <w:style w:type="paragraph" w:customStyle="1" w:styleId="41">
    <w:name w:val="题注4"/>
    <w:basedOn w:val="a"/>
    <w:next w:val="a4"/>
    <w:qFormat/>
    <w:pPr>
      <w:ind w:leftChars="-64" w:left="-132" w:rightChars="-50" w:right="-105" w:hanging="2"/>
      <w:jc w:val="center"/>
    </w:pPr>
    <w:rPr>
      <w:b/>
      <w:color w:val="FF0000"/>
      <w:szCs w:val="21"/>
      <w:lang w:val="en-GB"/>
    </w:rPr>
  </w:style>
  <w:style w:type="paragraph" w:customStyle="1" w:styleId="xl25">
    <w:name w:val="xl25"/>
    <w:basedOn w:val="a"/>
    <w:qFormat/>
    <w:pPr>
      <w:widowControl/>
      <w:pBdr>
        <w:bottom w:val="single" w:sz="4" w:space="0" w:color="auto"/>
        <w:right w:val="single" w:sz="4" w:space="0" w:color="auto"/>
      </w:pBdr>
      <w:spacing w:beforeAutospacing="1" w:afterAutospacing="1"/>
      <w:jc w:val="center"/>
    </w:pPr>
    <w:rPr>
      <w:rFonts w:ascii="宋体" w:hAnsi="宋体"/>
      <w:kern w:val="0"/>
      <w:szCs w:val="21"/>
    </w:rPr>
  </w:style>
  <w:style w:type="character" w:customStyle="1" w:styleId="Char0">
    <w:name w:val="批注框文本 Char"/>
    <w:basedOn w:val="a0"/>
    <w:link w:val="a9"/>
    <w:qFormat/>
    <w:rPr>
      <w:kern w:val="2"/>
      <w:sz w:val="18"/>
      <w:szCs w:val="18"/>
    </w:rPr>
  </w:style>
  <w:style w:type="paragraph" w:customStyle="1" w:styleId="13">
    <w:name w:val="列出段落1"/>
    <w:basedOn w:val="a"/>
    <w:uiPriority w:val="99"/>
    <w:unhideWhenUsed/>
    <w:qFormat/>
    <w:pPr>
      <w:ind w:firstLineChars="200" w:firstLine="420"/>
    </w:pPr>
  </w:style>
  <w:style w:type="paragraph" w:customStyle="1" w:styleId="WW-">
    <w:name w:val="WW-正文缩进"/>
    <w:basedOn w:val="a"/>
    <w:qFormat/>
    <w:pPr>
      <w:suppressAutoHyphens/>
      <w:ind w:firstLine="420"/>
    </w:pPr>
    <w:rPr>
      <w:rFonts w:ascii="黑体" w:eastAsia="黑体" w:hAnsi="黑体"/>
      <w:bCs/>
      <w:kern w:val="1"/>
      <w:sz w:val="52"/>
      <w:szCs w:val="52"/>
      <w:lang w:eastAsia="ar-SA"/>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character" w:customStyle="1" w:styleId="font21">
    <w:name w:val="font21"/>
    <w:basedOn w:val="a0"/>
    <w:qFormat/>
    <w:rPr>
      <w:rFonts w:ascii="仿宋" w:eastAsia="仿宋" w:hAnsi="仿宋" w:cs="仿宋" w:hint="eastAsia"/>
      <w:color w:val="000000"/>
      <w:sz w:val="20"/>
      <w:szCs w:val="20"/>
      <w:u w:val="none"/>
    </w:rPr>
  </w:style>
  <w:style w:type="character" w:customStyle="1" w:styleId="font61">
    <w:name w:val="font61"/>
    <w:basedOn w:val="a0"/>
    <w:qFormat/>
    <w:rPr>
      <w:rFonts w:ascii="仿宋" w:eastAsia="仿宋" w:hAnsi="仿宋" w:cs="仿宋" w:hint="eastAsia"/>
      <w:color w:val="000000"/>
      <w:sz w:val="20"/>
      <w:szCs w:val="20"/>
      <w:u w:val="none"/>
      <w:vertAlign w:val="superscript"/>
    </w:rPr>
  </w:style>
  <w:style w:type="paragraph" w:customStyle="1" w:styleId="af7">
    <w:name w:val="表头"/>
    <w:basedOn w:val="a4"/>
    <w:qFormat/>
    <w:pPr>
      <w:keepNext/>
      <w:keepLines/>
      <w:spacing w:before="120" w:after="120" w:line="300" w:lineRule="auto"/>
      <w:jc w:val="center"/>
      <w:textAlignment w:val="baseline"/>
    </w:pPr>
    <w:rPr>
      <w:rFonts w:ascii="Calibri" w:eastAsia="宋体" w:hAnsi="Calibri"/>
      <w:sz w:val="21"/>
    </w:rPr>
  </w:style>
  <w:style w:type="paragraph" w:customStyle="1" w:styleId="14">
    <w:name w:val="正文_1"/>
    <w:qFormat/>
    <w:rPr>
      <w:sz w:val="21"/>
    </w:rPr>
  </w:style>
  <w:style w:type="paragraph" w:customStyle="1" w:styleId="00">
    <w:name w:val="正文_0_0"/>
    <w:qFormat/>
    <w:pPr>
      <w:widowControl w:val="0"/>
      <w:jc w:val="both"/>
    </w:pPr>
    <w:rPr>
      <w:kern w:val="2"/>
      <w:sz w:val="21"/>
      <w:szCs w:val="24"/>
    </w:rPr>
  </w:style>
  <w:style w:type="character" w:customStyle="1" w:styleId="p1410">
    <w:name w:val="p141_0"/>
    <w:qFormat/>
    <w:rPr>
      <w:sz w:val="21"/>
      <w:szCs w:val="21"/>
    </w:rPr>
  </w:style>
  <w:style w:type="paragraph" w:customStyle="1" w:styleId="15">
    <w:name w:val="正文1"/>
    <w:qFormat/>
    <w:pPr>
      <w:widowControl w:val="0"/>
      <w:jc w:val="both"/>
    </w:pPr>
    <w:rPr>
      <w:rFonts w:ascii="Calibri" w:hAnsi="Calibri" w:hint="eastAsia"/>
      <w:kern w:val="2"/>
      <w:sz w:val="21"/>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styleId="af8">
    <w:name w:val="List Paragraph"/>
    <w:basedOn w:val="a"/>
    <w:uiPriority w:val="99"/>
    <w:unhideWhenUsed/>
    <w:qFormat/>
    <w:pPr>
      <w:ind w:firstLineChars="200" w:firstLine="420"/>
    </w:pPr>
  </w:style>
  <w:style w:type="character" w:customStyle="1" w:styleId="Char">
    <w:name w:val="批注文字 Char"/>
    <w:basedOn w:val="a0"/>
    <w:link w:val="a5"/>
    <w:qFormat/>
    <w:rPr>
      <w:rFonts w:asciiTheme="minorHAnsi" w:eastAsiaTheme="minorEastAsia" w:hAnsiTheme="minorHAnsi" w:cstheme="minorBidi"/>
      <w:kern w:val="2"/>
      <w:sz w:val="21"/>
      <w:szCs w:val="24"/>
    </w:rPr>
  </w:style>
  <w:style w:type="character" w:customStyle="1" w:styleId="Char2">
    <w:name w:val="批注主题 Char"/>
    <w:basedOn w:val="Char"/>
    <w:link w:val="af"/>
    <w:qFormat/>
    <w:rPr>
      <w:rFonts w:asciiTheme="minorHAnsi" w:eastAsiaTheme="minorEastAsia" w:hAnsiTheme="minorHAnsi" w:cstheme="minorBidi"/>
      <w:b/>
      <w:bCs/>
      <w:kern w:val="2"/>
      <w:sz w:val="21"/>
      <w:szCs w:val="24"/>
    </w:rPr>
  </w:style>
  <w:style w:type="character" w:customStyle="1" w:styleId="Char1">
    <w:name w:val="页脚 Char"/>
    <w:basedOn w:val="a0"/>
    <w:link w:val="aa"/>
    <w:uiPriority w:val="99"/>
    <w:qFormat/>
    <w:rPr>
      <w:rFonts w:asciiTheme="minorHAnsi" w:eastAsiaTheme="minorEastAsia" w:hAnsiTheme="minorHAnsi" w:cstheme="minorBidi"/>
      <w:kern w:val="2"/>
      <w:sz w:val="18"/>
      <w:szCs w:val="24"/>
    </w:rPr>
  </w:style>
  <w:style w:type="paragraph" w:customStyle="1" w:styleId="16">
    <w:name w:val="修订1"/>
    <w:hidden/>
    <w:uiPriority w:val="99"/>
    <w:semiHidden/>
    <w:qFormat/>
    <w:rPr>
      <w:rFonts w:asciiTheme="minorHAnsi" w:eastAsiaTheme="minorEastAsia" w:hAnsiTheme="minorHAnsi" w:cstheme="minorBidi"/>
      <w:kern w:val="2"/>
      <w:sz w:val="21"/>
      <w:szCs w:val="24"/>
    </w:rPr>
  </w:style>
  <w:style w:type="paragraph" w:styleId="af9">
    <w:name w:val="No Spacing"/>
    <w:qFormat/>
    <w:pPr>
      <w:widowControl w:val="0"/>
      <w:spacing w:line="360" w:lineRule="auto"/>
      <w:ind w:firstLineChars="200" w:firstLine="200"/>
    </w:pPr>
    <w:rPr>
      <w:rFonts w:ascii="宋体" w:hAnsi="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4" w:uiPriority="99" w:qFormat="1"/>
    <w:lsdException w:name="toc 1" w:qFormat="1"/>
    <w:lsdException w:name="toc 2" w:qFormat="1"/>
    <w:lsdException w:name="toc 3" w:qFormat="1"/>
    <w:lsdException w:name="Normal Indent" w:qFormat="1"/>
    <w:lsdException w:name="annotation text" w:qFormat="1"/>
    <w:lsdException w:name="header" w:qFormat="1"/>
    <w:lsdException w:name="footer" w:uiPriority="99" w:qFormat="1"/>
    <w:lsdException w:name="index heading" w:qFormat="1"/>
    <w:lsdException w:name="caption" w:unhideWhenUsed="1" w:qFormat="1"/>
    <w:lsdException w:name="annotation reference"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tabs>
        <w:tab w:val="left" w:pos="1440"/>
      </w:tabs>
      <w:spacing w:before="340" w:after="330" w:line="576" w:lineRule="auto"/>
      <w:outlineLvl w:val="0"/>
    </w:pPr>
    <w:rPr>
      <w:b/>
      <w:bCs/>
      <w:kern w:val="44"/>
      <w:sz w:val="44"/>
      <w:szCs w:val="44"/>
    </w:rPr>
  </w:style>
  <w:style w:type="paragraph" w:styleId="2">
    <w:name w:val="heading 2"/>
    <w:basedOn w:val="a"/>
    <w:next w:val="a"/>
    <w:unhideWhenUsed/>
    <w:qFormat/>
    <w:pPr>
      <w:keepNext/>
      <w:keepLines/>
      <w:tabs>
        <w:tab w:val="left" w:pos="720"/>
      </w:tabs>
      <w:spacing w:before="260" w:after="260" w:line="413" w:lineRule="auto"/>
      <w:outlineLvl w:val="1"/>
    </w:pPr>
    <w:rPr>
      <w:rFonts w:ascii="Arial" w:eastAsia="黑体" w:hAnsi="Arial"/>
      <w:b/>
      <w:bCs/>
      <w:sz w:val="32"/>
      <w:szCs w:val="32"/>
    </w:rPr>
  </w:style>
  <w:style w:type="paragraph" w:styleId="3">
    <w:name w:val="heading 3"/>
    <w:basedOn w:val="a"/>
    <w:next w:val="a"/>
    <w:unhideWhenUsed/>
    <w:qFormat/>
    <w:pPr>
      <w:keepNext/>
      <w:keepLines/>
      <w:tabs>
        <w:tab w:val="left" w:pos="720"/>
      </w:tabs>
      <w:spacing w:before="260" w:after="260" w:line="413" w:lineRule="auto"/>
      <w:ind w:left="720" w:hanging="432"/>
      <w:outlineLvl w:val="2"/>
    </w:pPr>
    <w:rPr>
      <w:b/>
      <w:bCs/>
      <w:sz w:val="32"/>
      <w:szCs w:val="32"/>
    </w:rPr>
  </w:style>
  <w:style w:type="paragraph" w:styleId="40">
    <w:name w:val="heading 4"/>
    <w:basedOn w:val="a"/>
    <w:next w:val="a"/>
    <w:unhideWhenUsed/>
    <w:qFormat/>
    <w:pPr>
      <w:keepNext/>
      <w:keepLines/>
      <w:spacing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qFormat/>
    <w:pPr>
      <w:ind w:leftChars="600" w:left="600"/>
    </w:pPr>
  </w:style>
  <w:style w:type="paragraph" w:styleId="a3">
    <w:name w:val="Normal Indent"/>
    <w:basedOn w:val="a"/>
    <w:qFormat/>
    <w:pPr>
      <w:ind w:firstLine="420"/>
    </w:pPr>
    <w:rPr>
      <w:szCs w:val="20"/>
    </w:rPr>
  </w:style>
  <w:style w:type="paragraph" w:styleId="a4">
    <w:name w:val="caption"/>
    <w:basedOn w:val="a"/>
    <w:next w:val="a"/>
    <w:unhideWhenUsed/>
    <w:qFormat/>
    <w:rPr>
      <w:rFonts w:ascii="Cambria" w:eastAsia="黑体" w:hAnsi="Cambria" w:cs="Times New Roman"/>
      <w:sz w:val="20"/>
      <w:szCs w:val="20"/>
    </w:rPr>
  </w:style>
  <w:style w:type="paragraph" w:styleId="a5">
    <w:name w:val="annotation text"/>
    <w:basedOn w:val="a"/>
    <w:link w:val="Char"/>
    <w:qFormat/>
    <w:pPr>
      <w:jc w:val="left"/>
    </w:pPr>
  </w:style>
  <w:style w:type="paragraph" w:styleId="a6">
    <w:name w:val="Body Text"/>
    <w:basedOn w:val="a"/>
    <w:uiPriority w:val="99"/>
    <w:unhideWhenUsed/>
    <w:qFormat/>
    <w:rPr>
      <w:sz w:val="28"/>
    </w:rPr>
  </w:style>
  <w:style w:type="paragraph" w:styleId="30">
    <w:name w:val="toc 3"/>
    <w:basedOn w:val="a"/>
    <w:next w:val="a"/>
    <w:qFormat/>
    <w:pPr>
      <w:ind w:leftChars="400" w:left="840"/>
    </w:pPr>
  </w:style>
  <w:style w:type="paragraph" w:styleId="a7">
    <w:name w:val="Plain Text"/>
    <w:basedOn w:val="a"/>
    <w:qFormat/>
    <w:rPr>
      <w:rFonts w:ascii="宋体" w:hAnsi="Courier New"/>
    </w:rPr>
  </w:style>
  <w:style w:type="paragraph" w:styleId="a8">
    <w:name w:val="Date"/>
    <w:basedOn w:val="a"/>
    <w:next w:val="a"/>
    <w:qFormat/>
    <w:pPr>
      <w:ind w:leftChars="2500" w:left="100"/>
    </w:pPr>
  </w:style>
  <w:style w:type="paragraph" w:styleId="a9">
    <w:name w:val="Balloon Text"/>
    <w:basedOn w:val="a"/>
    <w:link w:val="Char0"/>
    <w:qFormat/>
    <w:rPr>
      <w:sz w:val="18"/>
      <w:szCs w:val="18"/>
    </w:rPr>
  </w:style>
  <w:style w:type="paragraph" w:styleId="aa">
    <w:name w:val="footer"/>
    <w:basedOn w:val="a"/>
    <w:link w:val="Char1"/>
    <w:uiPriority w:val="99"/>
    <w:qFormat/>
    <w:pPr>
      <w:tabs>
        <w:tab w:val="center" w:pos="4153"/>
        <w:tab w:val="right" w:pos="8306"/>
      </w:tabs>
      <w:snapToGrid w:val="0"/>
      <w:jc w:val="left"/>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c">
    <w:name w:val="index heading"/>
    <w:basedOn w:val="a"/>
    <w:next w:val="11"/>
    <w:qFormat/>
    <w:rPr>
      <w:szCs w:val="20"/>
    </w:rPr>
  </w:style>
  <w:style w:type="paragraph" w:styleId="11">
    <w:name w:val="index 1"/>
    <w:basedOn w:val="a"/>
    <w:next w:val="a"/>
    <w:qFormat/>
    <w:rPr>
      <w:szCs w:val="20"/>
    </w:rPr>
  </w:style>
  <w:style w:type="paragraph" w:styleId="20">
    <w:name w:val="toc 2"/>
    <w:basedOn w:val="a"/>
    <w:next w:val="a"/>
    <w:qFormat/>
    <w:pPr>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e">
    <w:name w:val="Title"/>
    <w:basedOn w:val="a"/>
    <w:next w:val="a"/>
    <w:uiPriority w:val="10"/>
    <w:qFormat/>
    <w:pPr>
      <w:spacing w:before="240" w:after="60"/>
      <w:jc w:val="center"/>
      <w:outlineLvl w:val="0"/>
    </w:pPr>
    <w:rPr>
      <w:rFonts w:ascii="Cambria" w:hAnsi="Cambria"/>
      <w:b/>
      <w:bCs/>
      <w:sz w:val="32"/>
      <w:szCs w:val="32"/>
    </w:rPr>
  </w:style>
  <w:style w:type="paragraph" w:styleId="af">
    <w:name w:val="annotation subject"/>
    <w:basedOn w:val="a5"/>
    <w:next w:val="a5"/>
    <w:link w:val="Char2"/>
    <w:qFormat/>
    <w:rPr>
      <w:b/>
      <w:bCs/>
    </w:rPr>
  </w:style>
  <w:style w:type="table" w:styleId="af0">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0"/>
    <w:qFormat/>
    <w:rPr>
      <w:rFonts w:ascii="Tahoma" w:eastAsia="宋体" w:hAnsi="Tahoma" w:cs="Tahoma" w:hint="default"/>
      <w:b/>
      <w:bCs/>
      <w:spacing w:val="10"/>
      <w:sz w:val="24"/>
      <w:lang w:val="en-US" w:eastAsia="zh-CN" w:bidi="ar-SA"/>
    </w:rPr>
  </w:style>
  <w:style w:type="character" w:styleId="af2">
    <w:name w:val="annotation reference"/>
    <w:basedOn w:val="a0"/>
    <w:qFormat/>
    <w:rPr>
      <w:sz w:val="21"/>
      <w:szCs w:val="21"/>
    </w:rPr>
  </w:style>
  <w:style w:type="paragraph" w:customStyle="1" w:styleId="af3">
    <w:name w:val="正文（缩进）"/>
    <w:basedOn w:val="a"/>
    <w:qFormat/>
    <w:pPr>
      <w:spacing w:before="156" w:after="156"/>
      <w:ind w:firstLineChars="200" w:firstLine="480"/>
    </w:pPr>
  </w:style>
  <w:style w:type="paragraph" w:customStyle="1" w:styleId="af4">
    <w:name w:val="普通正文"/>
    <w:basedOn w:val="a"/>
    <w:uiPriority w:val="99"/>
    <w:qFormat/>
    <w:pPr>
      <w:widowControl/>
      <w:spacing w:line="360" w:lineRule="atLeast"/>
      <w:ind w:firstLine="425"/>
    </w:pPr>
    <w:rPr>
      <w:kern w:val="21"/>
      <w:szCs w:val="20"/>
    </w:rPr>
  </w:style>
  <w:style w:type="character" w:customStyle="1" w:styleId="p141">
    <w:name w:val="p141"/>
    <w:qFormat/>
    <w:rPr>
      <w:sz w:val="21"/>
    </w:rPr>
  </w:style>
  <w:style w:type="paragraph" w:customStyle="1" w:styleId="af5">
    <w:name w:val="表格文字"/>
    <w:basedOn w:val="a"/>
    <w:qFormat/>
    <w:pPr>
      <w:spacing w:before="25" w:after="25"/>
      <w:jc w:val="left"/>
    </w:pPr>
    <w:rPr>
      <w:bCs/>
      <w:spacing w:val="10"/>
      <w:kern w:val="0"/>
      <w:sz w:val="24"/>
      <w:szCs w:val="20"/>
    </w:rPr>
  </w:style>
  <w:style w:type="paragraph" w:customStyle="1" w:styleId="af6">
    <w:name w:val="图"/>
    <w:basedOn w:val="a"/>
    <w:qFormat/>
    <w:pPr>
      <w:keepNext/>
      <w:adjustRightInd w:val="0"/>
      <w:spacing w:line="300" w:lineRule="auto"/>
      <w:jc w:val="center"/>
      <w:textAlignment w:val="center"/>
    </w:pPr>
    <w:rPr>
      <w:snapToGrid w:val="0"/>
      <w:spacing w:val="20"/>
      <w:kern w:val="0"/>
      <w:sz w:val="24"/>
      <w:szCs w:val="20"/>
    </w:rPr>
  </w:style>
  <w:style w:type="paragraph" w:customStyle="1" w:styleId="5">
    <w:name w:val="题注5"/>
    <w:basedOn w:val="a"/>
    <w:next w:val="a4"/>
    <w:qFormat/>
    <w:pPr>
      <w:jc w:val="center"/>
    </w:pPr>
    <w:rPr>
      <w:b/>
      <w:color w:val="000000"/>
      <w:sz w:val="24"/>
      <w:szCs w:val="21"/>
    </w:rPr>
  </w:style>
  <w:style w:type="paragraph" w:customStyle="1" w:styleId="12">
    <w:name w:val="1册标题2"/>
    <w:basedOn w:val="a"/>
    <w:next w:val="a"/>
    <w:qFormat/>
    <w:pPr>
      <w:adjustRightInd w:val="0"/>
      <w:spacing w:beforeLines="50" w:afterLines="50" w:line="300" w:lineRule="auto"/>
      <w:jc w:val="center"/>
      <w:textAlignment w:val="baseline"/>
      <w:outlineLvl w:val="1"/>
    </w:pPr>
    <w:rPr>
      <w:rFonts w:ascii="Arial" w:eastAsia="黑体" w:hAnsi="Arial"/>
      <w:bCs/>
      <w:kern w:val="0"/>
      <w:sz w:val="32"/>
    </w:rPr>
  </w:style>
  <w:style w:type="paragraph" w:customStyle="1" w:styleId="41">
    <w:name w:val="题注4"/>
    <w:basedOn w:val="a"/>
    <w:next w:val="a4"/>
    <w:qFormat/>
    <w:pPr>
      <w:ind w:leftChars="-64" w:left="-132" w:rightChars="-50" w:right="-105" w:hanging="2"/>
      <w:jc w:val="center"/>
    </w:pPr>
    <w:rPr>
      <w:b/>
      <w:color w:val="FF0000"/>
      <w:szCs w:val="21"/>
      <w:lang w:val="en-GB"/>
    </w:rPr>
  </w:style>
  <w:style w:type="paragraph" w:customStyle="1" w:styleId="xl25">
    <w:name w:val="xl25"/>
    <w:basedOn w:val="a"/>
    <w:qFormat/>
    <w:pPr>
      <w:widowControl/>
      <w:pBdr>
        <w:bottom w:val="single" w:sz="4" w:space="0" w:color="auto"/>
        <w:right w:val="single" w:sz="4" w:space="0" w:color="auto"/>
      </w:pBdr>
      <w:spacing w:beforeAutospacing="1" w:afterAutospacing="1"/>
      <w:jc w:val="center"/>
    </w:pPr>
    <w:rPr>
      <w:rFonts w:ascii="宋体" w:hAnsi="宋体"/>
      <w:kern w:val="0"/>
      <w:szCs w:val="21"/>
    </w:rPr>
  </w:style>
  <w:style w:type="character" w:customStyle="1" w:styleId="Char0">
    <w:name w:val="批注框文本 Char"/>
    <w:basedOn w:val="a0"/>
    <w:link w:val="a9"/>
    <w:qFormat/>
    <w:rPr>
      <w:kern w:val="2"/>
      <w:sz w:val="18"/>
      <w:szCs w:val="18"/>
    </w:rPr>
  </w:style>
  <w:style w:type="paragraph" w:customStyle="1" w:styleId="13">
    <w:name w:val="列出段落1"/>
    <w:basedOn w:val="a"/>
    <w:uiPriority w:val="99"/>
    <w:unhideWhenUsed/>
    <w:qFormat/>
    <w:pPr>
      <w:ind w:firstLineChars="200" w:firstLine="420"/>
    </w:pPr>
  </w:style>
  <w:style w:type="paragraph" w:customStyle="1" w:styleId="WW-">
    <w:name w:val="WW-正文缩进"/>
    <w:basedOn w:val="a"/>
    <w:qFormat/>
    <w:pPr>
      <w:suppressAutoHyphens/>
      <w:ind w:firstLine="420"/>
    </w:pPr>
    <w:rPr>
      <w:rFonts w:ascii="黑体" w:eastAsia="黑体" w:hAnsi="黑体"/>
      <w:bCs/>
      <w:kern w:val="1"/>
      <w:sz w:val="52"/>
      <w:szCs w:val="52"/>
      <w:lang w:eastAsia="ar-SA"/>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character" w:customStyle="1" w:styleId="font21">
    <w:name w:val="font21"/>
    <w:basedOn w:val="a0"/>
    <w:qFormat/>
    <w:rPr>
      <w:rFonts w:ascii="仿宋" w:eastAsia="仿宋" w:hAnsi="仿宋" w:cs="仿宋" w:hint="eastAsia"/>
      <w:color w:val="000000"/>
      <w:sz w:val="20"/>
      <w:szCs w:val="20"/>
      <w:u w:val="none"/>
    </w:rPr>
  </w:style>
  <w:style w:type="character" w:customStyle="1" w:styleId="font61">
    <w:name w:val="font61"/>
    <w:basedOn w:val="a0"/>
    <w:qFormat/>
    <w:rPr>
      <w:rFonts w:ascii="仿宋" w:eastAsia="仿宋" w:hAnsi="仿宋" w:cs="仿宋" w:hint="eastAsia"/>
      <w:color w:val="000000"/>
      <w:sz w:val="20"/>
      <w:szCs w:val="20"/>
      <w:u w:val="none"/>
      <w:vertAlign w:val="superscript"/>
    </w:rPr>
  </w:style>
  <w:style w:type="paragraph" w:customStyle="1" w:styleId="af7">
    <w:name w:val="表头"/>
    <w:basedOn w:val="a4"/>
    <w:qFormat/>
    <w:pPr>
      <w:keepNext/>
      <w:keepLines/>
      <w:spacing w:before="120" w:after="120" w:line="300" w:lineRule="auto"/>
      <w:jc w:val="center"/>
      <w:textAlignment w:val="baseline"/>
    </w:pPr>
    <w:rPr>
      <w:rFonts w:ascii="Calibri" w:eastAsia="宋体" w:hAnsi="Calibri"/>
      <w:sz w:val="21"/>
    </w:rPr>
  </w:style>
  <w:style w:type="paragraph" w:customStyle="1" w:styleId="14">
    <w:name w:val="正文_1"/>
    <w:qFormat/>
    <w:rPr>
      <w:sz w:val="21"/>
    </w:rPr>
  </w:style>
  <w:style w:type="paragraph" w:customStyle="1" w:styleId="00">
    <w:name w:val="正文_0_0"/>
    <w:qFormat/>
    <w:pPr>
      <w:widowControl w:val="0"/>
      <w:jc w:val="both"/>
    </w:pPr>
    <w:rPr>
      <w:kern w:val="2"/>
      <w:sz w:val="21"/>
      <w:szCs w:val="24"/>
    </w:rPr>
  </w:style>
  <w:style w:type="character" w:customStyle="1" w:styleId="p1410">
    <w:name w:val="p141_0"/>
    <w:qFormat/>
    <w:rPr>
      <w:sz w:val="21"/>
      <w:szCs w:val="21"/>
    </w:rPr>
  </w:style>
  <w:style w:type="paragraph" w:customStyle="1" w:styleId="15">
    <w:name w:val="正文1"/>
    <w:qFormat/>
    <w:pPr>
      <w:widowControl w:val="0"/>
      <w:jc w:val="both"/>
    </w:pPr>
    <w:rPr>
      <w:rFonts w:ascii="Calibri" w:hAnsi="Calibri" w:hint="eastAsia"/>
      <w:kern w:val="2"/>
      <w:sz w:val="21"/>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styleId="af8">
    <w:name w:val="List Paragraph"/>
    <w:basedOn w:val="a"/>
    <w:uiPriority w:val="99"/>
    <w:unhideWhenUsed/>
    <w:qFormat/>
    <w:pPr>
      <w:ind w:firstLineChars="200" w:firstLine="420"/>
    </w:pPr>
  </w:style>
  <w:style w:type="character" w:customStyle="1" w:styleId="Char">
    <w:name w:val="批注文字 Char"/>
    <w:basedOn w:val="a0"/>
    <w:link w:val="a5"/>
    <w:qFormat/>
    <w:rPr>
      <w:rFonts w:asciiTheme="minorHAnsi" w:eastAsiaTheme="minorEastAsia" w:hAnsiTheme="minorHAnsi" w:cstheme="minorBidi"/>
      <w:kern w:val="2"/>
      <w:sz w:val="21"/>
      <w:szCs w:val="24"/>
    </w:rPr>
  </w:style>
  <w:style w:type="character" w:customStyle="1" w:styleId="Char2">
    <w:name w:val="批注主题 Char"/>
    <w:basedOn w:val="Char"/>
    <w:link w:val="af"/>
    <w:qFormat/>
    <w:rPr>
      <w:rFonts w:asciiTheme="minorHAnsi" w:eastAsiaTheme="minorEastAsia" w:hAnsiTheme="minorHAnsi" w:cstheme="minorBidi"/>
      <w:b/>
      <w:bCs/>
      <w:kern w:val="2"/>
      <w:sz w:val="21"/>
      <w:szCs w:val="24"/>
    </w:rPr>
  </w:style>
  <w:style w:type="character" w:customStyle="1" w:styleId="Char1">
    <w:name w:val="页脚 Char"/>
    <w:basedOn w:val="a0"/>
    <w:link w:val="aa"/>
    <w:uiPriority w:val="99"/>
    <w:qFormat/>
    <w:rPr>
      <w:rFonts w:asciiTheme="minorHAnsi" w:eastAsiaTheme="minorEastAsia" w:hAnsiTheme="minorHAnsi" w:cstheme="minorBidi"/>
      <w:kern w:val="2"/>
      <w:sz w:val="18"/>
      <w:szCs w:val="24"/>
    </w:rPr>
  </w:style>
  <w:style w:type="paragraph" w:customStyle="1" w:styleId="16">
    <w:name w:val="修订1"/>
    <w:hidden/>
    <w:uiPriority w:val="99"/>
    <w:semiHidden/>
    <w:qFormat/>
    <w:rPr>
      <w:rFonts w:asciiTheme="minorHAnsi" w:eastAsiaTheme="minorEastAsia" w:hAnsiTheme="minorHAnsi" w:cstheme="minorBidi"/>
      <w:kern w:val="2"/>
      <w:sz w:val="21"/>
      <w:szCs w:val="24"/>
    </w:rPr>
  </w:style>
  <w:style w:type="paragraph" w:styleId="af9">
    <w:name w:val="No Spacing"/>
    <w:qFormat/>
    <w:pPr>
      <w:widowControl w:val="0"/>
      <w:spacing w:line="360" w:lineRule="auto"/>
      <w:ind w:firstLineChars="200" w:firstLine="200"/>
    </w:pPr>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0ECBB-B441-4257-81E0-70908072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938</Words>
  <Characters>5352</Characters>
  <Application>Microsoft Office Word</Application>
  <DocSecurity>0</DocSecurity>
  <Lines>44</Lines>
  <Paragraphs>12</Paragraphs>
  <ScaleCrop>false</ScaleCrop>
  <Company>微软中国</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李伟</dc:creator>
  <cp:lastModifiedBy>xb21cn</cp:lastModifiedBy>
  <cp:revision>33</cp:revision>
  <dcterms:created xsi:type="dcterms:W3CDTF">2017-03-04T13:56:00Z</dcterms:created>
  <dcterms:modified xsi:type="dcterms:W3CDTF">2023-07-03T14:18:00Z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0DCFE2D896E14323A3FD30A6C79239C9_13</vt:lpwstr>
  </property>
</Properties>
</file>