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4B27F7">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附件1</w:t>
      </w:r>
    </w:p>
    <w:p w14:paraId="4C2BFCEA">
      <w:pPr>
        <w:adjustRightInd w:val="0"/>
        <w:spacing w:line="540" w:lineRule="exact"/>
        <w:rPr>
          <w:rFonts w:ascii="Times New Roman" w:hAnsi="Times New Roman" w:eastAsia="黑体"/>
          <w:sz w:val="32"/>
          <w:szCs w:val="32"/>
        </w:rPr>
      </w:pPr>
    </w:p>
    <w:p w14:paraId="789AC841">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D6928CE">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高教主赛道方案</w:t>
      </w:r>
    </w:p>
    <w:p w14:paraId="57D138D2">
      <w:pPr>
        <w:spacing w:line="540" w:lineRule="exact"/>
        <w:ind w:firstLine="640" w:firstLineChars="200"/>
        <w:rPr>
          <w:rFonts w:ascii="Times New Roman" w:hAnsi="Times New Roman" w:eastAsia="仿宋_GB2312"/>
          <w:sz w:val="32"/>
          <w:szCs w:val="32"/>
        </w:rPr>
      </w:pPr>
    </w:p>
    <w:p w14:paraId="304B9741">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5）设高教主赛道（含国际参赛项目），具体实施方案如下。</w:t>
      </w:r>
    </w:p>
    <w:p w14:paraId="22759EB8">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一、参赛项目类别及类型</w:t>
      </w:r>
    </w:p>
    <w:p w14:paraId="3A77D401">
      <w:pPr>
        <w:widowControl/>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（一）新工科类项目：大数据、云计算、区块链、虚拟现实、智能制造、网络空间安全、机器人工程、工业自动化等领域，符合新工科建设理念和要求的项目；</w:t>
      </w:r>
    </w:p>
    <w:p w14:paraId="6C4D3A7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（二）新医科类项目：现代医疗技术、智能医疗设备、新药研发、健康康养、食药保健、智能医学、生物材料等领域，符合新医科建设理念和要求的项目；</w:t>
      </w:r>
    </w:p>
    <w:p w14:paraId="5C0EB119">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（三）</w:t>
      </w:r>
      <w:r>
        <w:rPr>
          <w:rFonts w:hint="eastAsia" w:ascii="Times New Roman" w:hAnsi="Times New Roman" w:eastAsia="仿宋_GB2312"/>
          <w:sz w:val="32"/>
          <w:szCs w:val="32"/>
        </w:rPr>
        <w:t>新农科类项目：现代种业、智慧农业、智能农机装备、农业大数据、食品营养、休闲农业、森林康养、生态修复、农业碳汇等领域，符合新农科建设理念和要求的项目；</w:t>
      </w:r>
    </w:p>
    <w:p w14:paraId="249F0503">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（四）</w:t>
      </w:r>
      <w:r>
        <w:rPr>
          <w:rFonts w:hint="eastAsia" w:ascii="Times New Roman" w:hAnsi="Times New Roman" w:eastAsia="仿宋_GB2312"/>
          <w:sz w:val="32"/>
          <w:szCs w:val="32"/>
        </w:rPr>
        <w:t>新文科类项目：文化教育、数字经济、金融科技、财经、法务、融媒体、翻译、旅游休闲、动漫、文创设计与开发、电子商务、物流、体育、非物质文化遗产保护、社会工作、家政服务、养老服务等领域，符合新文科建设理念和要求的项目；</w:t>
      </w:r>
    </w:p>
    <w:p w14:paraId="574C4AD1">
      <w:pPr>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（五）</w:t>
      </w:r>
      <w:r>
        <w:rPr>
          <w:rFonts w:hint="eastAsia" w:ascii="Times New Roman" w:hAnsi="Times New Roman" w:eastAsia="仿宋_GB2312"/>
          <w:sz w:val="32"/>
          <w:szCs w:val="32"/>
        </w:rPr>
        <w:t>“人工智能+”项目：聚焦于人工智能深度融合经济社会各领域发展、赋能千行百业智能化转型升级，符合“人工智能+”发展理念和要求的项目；</w:t>
      </w:r>
    </w:p>
    <w:p w14:paraId="52B22C1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六）“低空经济”项目：聚焦无人机物流、低空交通服务、应急救援、智慧城市空中应用等场景，结合飞行器研发、空域管理技术或服务模式创新，推动低空资源高效开发与产业生态构建，符合国家低空经济发展战略导向的项目；</w:t>
      </w:r>
    </w:p>
    <w:p w14:paraId="4FE4E13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（七）“生物技术”项目：聚焦基因编辑、合成生物学、细胞治疗等前沿领域，推动生物技术在医疗健康、农业育种、生态环保等场景的创新应用，符合国家生物经济战略及生命科学产业化发展要求的项目；‌</w:t>
      </w:r>
    </w:p>
    <w:p w14:paraId="7A02F63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（八）“量子科技”项目：聚焦量子计算、量子通信、量子测量等方向，推动量子技术与信息安全、材料科学等领域的深度协同，符合“量子科技”发展理念和要求的项目；</w:t>
      </w:r>
    </w:p>
    <w:p w14:paraId="4F72A98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（九）“新能源”项目：聚焦</w:t>
      </w:r>
      <w:r>
        <w:rPr>
          <w:rFonts w:hint="eastAsia" w:ascii="仿宋_GB2312" w:hAnsi="仿宋_GB2312" w:eastAsia="仿宋_GB2312" w:cs="仿宋_GB2312"/>
          <w:sz w:val="32"/>
          <w:szCs w:val="32"/>
        </w:rPr>
        <w:t>可再生能源开发、储能技术优化及能源互联网建设，支持高效清洁能源转化、智能电网升级与低碳能源系统研发，符合“双碳”目标及能源革命战略方向的项目</w:t>
      </w:r>
      <w:r>
        <w:rPr>
          <w:rFonts w:hint="eastAsia" w:ascii="Times New Roman" w:hAnsi="Times New Roman" w:eastAsia="仿宋_GB2312"/>
          <w:sz w:val="32"/>
          <w:szCs w:val="32"/>
        </w:rPr>
        <w:t>；</w:t>
      </w:r>
    </w:p>
    <w:p w14:paraId="1DDD4A4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（十）“新材料”项目：聚焦新型结构材料、功能材料及复合材料研发，推动绿色制备工艺、材料基因工程与高端装备应用，符合国家战略新兴产业需求，具备技术突破性或产业化潜力的创新项目‌。</w:t>
      </w:r>
    </w:p>
    <w:p w14:paraId="3A18AED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参赛项目团队应认真了解和把握新质生产力的内涵及要求，结合以上分类及项目实际，合理选择参赛项目类别，根据各参赛项目建设内涵和产业发展方向选择相应类型。</w:t>
      </w:r>
    </w:p>
    <w:p w14:paraId="2BCE160C">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二、参赛方式和要求</w:t>
      </w:r>
    </w:p>
    <w:p w14:paraId="216F422F">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（一）本赛道以团队为单位报名参赛。允许跨校组建参赛团队，每个团队的成员不少于3人，不多于15人（含团队负责人），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。参赛团队所报参赛项目，须为本团队策划或经营的项目，不得借用他人项目参赛。</w:t>
      </w:r>
    </w:p>
    <w:p w14:paraId="3C7C160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按照参赛学校所在的国家和地区，分为中国大陆参赛项目、中国港澳台地区参赛项目、国际参赛项目三个类别。国际参赛项目和中国港澳台地区参赛项目可根据当地教育情况适当调整学籍和学历的相关参赛要求。</w:t>
      </w:r>
    </w:p>
    <w:p w14:paraId="76C9CEC6">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（三）所有参赛材料和现场答辩原则上使用中文或英文，如有其他语言需求，请联系大赛组委会。</w:t>
      </w:r>
    </w:p>
    <w:p w14:paraId="264080B8">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三、参赛组别和对象</w:t>
      </w:r>
    </w:p>
    <w:p w14:paraId="69E696D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根据参赛申报人所处学习阶段，项目分为本科生组、研究生组。根据项目发展阶段，本科生组和研究生组均内设创意组、创业组，并按照新工科、新医科、新农科、新文科、人工智能+、低空经济、生物技术、量子科技、新能源、新材料设置参赛项目类型。</w:t>
      </w:r>
    </w:p>
    <w:p w14:paraId="2980F6A1">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具体参赛条件如下：</w:t>
      </w:r>
    </w:p>
    <w:p w14:paraId="3A889C5B">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（一）本科生组</w:t>
      </w:r>
    </w:p>
    <w:p w14:paraId="11271D3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1.创意组</w:t>
      </w:r>
    </w:p>
    <w:p w14:paraId="556B0CEB">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（1）参赛项目具有较好的创意和较为成型的产品原型或服务模式，</w:t>
      </w:r>
      <w:bookmarkStart w:id="0" w:name="_Hlk161994659"/>
      <w:r>
        <w:rPr>
          <w:rFonts w:hint="eastAsia" w:ascii="Times New Roman" w:hAnsi="Times New Roman" w:eastAsia="仿宋_GB2312"/>
          <w:sz w:val="32"/>
          <w:szCs w:val="32"/>
        </w:rPr>
        <w:t>在大赛通知下发之日前</w:t>
      </w:r>
      <w:bookmarkEnd w:id="0"/>
      <w:r>
        <w:rPr>
          <w:rFonts w:hint="eastAsia" w:ascii="Times New Roman" w:hAnsi="Times New Roman" w:eastAsia="仿宋_GB2312"/>
          <w:sz w:val="32"/>
          <w:szCs w:val="32"/>
        </w:rPr>
        <w:t>尚未完成工商等各类登记注册。</w:t>
      </w:r>
    </w:p>
    <w:p w14:paraId="73232A2C">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（2）参赛申报人须为项目负责人，项目负责人及成员均须为普通高等学校全日制在校本专科生（不含在职教育）。</w:t>
      </w:r>
    </w:p>
    <w:p w14:paraId="5E262AFD">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（3）学校科技成果转化项目不能参加本组比赛（科技成果的完成人、所有人中参赛申报人排名第一的除外）。</w:t>
      </w:r>
    </w:p>
    <w:p w14:paraId="310A41B2">
      <w:pPr>
        <w:widowControl w:val="0"/>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.创业组</w:t>
      </w:r>
    </w:p>
    <w:p w14:paraId="0E048680">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（1）参赛项目须已完成工商等各类登记注册（在大赛通知下发之日前注册）。</w:t>
      </w:r>
    </w:p>
    <w:p w14:paraId="4BE5D73E">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且为参赛企业法定代表人，须为普通高等学校全日制在校本专科生（不含在职教育），或毕业5年以内的全日制本专科学生（即2020年之后的毕业生，不含在职教育）。企业法定代表人在大赛通知发布之日后进行变更的不予认可。</w:t>
      </w:r>
    </w:p>
    <w:p w14:paraId="63CED307">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702ED356">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（二）研究生组</w:t>
      </w:r>
    </w:p>
    <w:p w14:paraId="3003DE15">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1.创意组</w:t>
      </w:r>
    </w:p>
    <w:p w14:paraId="00775517">
      <w:pPr>
        <w:widowControl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（1）参赛项目具有较好的创意和较为成型的产品原型或服务模式，在大赛通知下发之日前尚未完成工商等各类登记注册。</w:t>
      </w:r>
    </w:p>
    <w:p w14:paraId="640C0810">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（2）参赛申报人须为项目负责人，须为普通高等学校全日制在校研究生。项目成员须为普通高等学校全日制在校研究生或本专科生（不含在职教育）。</w:t>
      </w:r>
    </w:p>
    <w:p w14:paraId="26DA639F">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（3）学校科技成果转化项目不能参加本组比赛（科技成果的完成人、所有人中参赛申报人排名第一的除外）。</w:t>
      </w:r>
    </w:p>
    <w:p w14:paraId="65777155">
      <w:pPr>
        <w:widowControl w:val="0"/>
        <w:spacing w:line="54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w:t>
      </w:r>
      <w:r>
        <w:rPr>
          <w:rFonts w:hint="eastAsia" w:ascii="Times New Roman" w:hAnsi="Times New Roman" w:eastAsia="仿宋_GB2312"/>
          <w:sz w:val="32"/>
          <w:szCs w:val="32"/>
        </w:rPr>
        <w:t>.创业组</w:t>
      </w:r>
    </w:p>
    <w:p w14:paraId="1973F9A9">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（1）参赛项目须已完成工商等各类登记注册（在大赛通知下发之日前注册）。</w:t>
      </w:r>
    </w:p>
    <w:p w14:paraId="400D1FC6">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人须为项目负责人且为参赛企业法定代表人，须为普通高等学校全日制在校研究生，或毕业5年以内的全日制研究生学历学生（即2020年之后的研究生学历毕业生）。企业法定代表人在大赛通知发布之日后进行变更的不予认可。</w:t>
      </w:r>
    </w:p>
    <w:p w14:paraId="7FC283A2">
      <w:pPr>
        <w:widowControl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66445E8A">
      <w:pPr>
        <w:widowControl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四、奖项设置</w:t>
      </w:r>
    </w:p>
    <w:p w14:paraId="2F17D813">
      <w:pPr>
        <w:widowControl w:val="0"/>
        <w:spacing w:line="54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本赛道设置金奖、银奖、铜奖，中国大陆参赛项目设金奖23</w:t>
      </w:r>
      <w:r>
        <w:rPr>
          <w:rFonts w:ascii="Times New Roman" w:hAnsi="Times New Roman" w:eastAsia="仿宋_GB2312"/>
          <w:sz w:val="32"/>
          <w:szCs w:val="32"/>
        </w:rPr>
        <w:t>0</w:t>
      </w:r>
      <w:r>
        <w:rPr>
          <w:rFonts w:hint="eastAsia" w:ascii="Times New Roman" w:hAnsi="Times New Roman" w:eastAsia="仿宋_GB2312"/>
          <w:sz w:val="32"/>
          <w:szCs w:val="32"/>
        </w:rPr>
        <w:t>个、银奖46</w:t>
      </w:r>
      <w:r>
        <w:rPr>
          <w:rFonts w:ascii="Times New Roman" w:hAnsi="Times New Roman" w:eastAsia="仿宋_GB2312"/>
          <w:sz w:val="32"/>
          <w:szCs w:val="32"/>
        </w:rPr>
        <w:t>0</w:t>
      </w:r>
      <w:r>
        <w:rPr>
          <w:rFonts w:hint="eastAsia" w:ascii="Times New Roman" w:hAnsi="Times New Roman" w:eastAsia="仿宋_GB2312"/>
          <w:sz w:val="32"/>
          <w:szCs w:val="32"/>
        </w:rPr>
        <w:t>个、铜奖</w:t>
      </w:r>
      <w:r>
        <w:rPr>
          <w:rFonts w:ascii="Times New Roman" w:hAnsi="Times New Roman" w:eastAsia="仿宋_GB2312"/>
          <w:sz w:val="32"/>
          <w:szCs w:val="32"/>
        </w:rPr>
        <w:t>1</w:t>
      </w:r>
      <w:r>
        <w:rPr>
          <w:rFonts w:hint="eastAsia" w:ascii="Times New Roman" w:hAnsi="Times New Roman" w:eastAsia="仿宋_GB2312"/>
          <w:sz w:val="32"/>
          <w:szCs w:val="32"/>
        </w:rPr>
        <w:t>38</w:t>
      </w:r>
      <w:r>
        <w:rPr>
          <w:rFonts w:ascii="Times New Roman" w:hAnsi="Times New Roman" w:eastAsia="仿宋_GB2312"/>
          <w:sz w:val="32"/>
          <w:szCs w:val="32"/>
        </w:rPr>
        <w:t>0</w:t>
      </w:r>
      <w:r>
        <w:rPr>
          <w:rFonts w:hint="eastAsia" w:ascii="Times New Roman" w:hAnsi="Times New Roman" w:eastAsia="仿宋_GB2312"/>
          <w:sz w:val="32"/>
          <w:szCs w:val="32"/>
        </w:rPr>
        <w:t>个，中国港澳台地区参赛项目设金奖</w:t>
      </w:r>
      <w:r>
        <w:rPr>
          <w:rFonts w:ascii="Times New Roman" w:hAnsi="Times New Roman" w:eastAsia="仿宋_GB2312"/>
          <w:sz w:val="32"/>
          <w:szCs w:val="32"/>
        </w:rPr>
        <w:t>10</w:t>
      </w:r>
      <w:r>
        <w:rPr>
          <w:rFonts w:hint="eastAsia" w:ascii="Times New Roman" w:hAnsi="Times New Roman" w:eastAsia="仿宋_GB2312"/>
          <w:sz w:val="32"/>
          <w:szCs w:val="32"/>
        </w:rPr>
        <w:t>个、银奖</w:t>
      </w:r>
      <w:r>
        <w:rPr>
          <w:rFonts w:ascii="Times New Roman" w:hAnsi="Times New Roman" w:eastAsia="仿宋_GB2312"/>
          <w:sz w:val="32"/>
          <w:szCs w:val="32"/>
        </w:rPr>
        <w:t>20</w:t>
      </w:r>
      <w:r>
        <w:rPr>
          <w:rFonts w:hint="eastAsia" w:ascii="Times New Roman" w:hAnsi="Times New Roman" w:eastAsia="仿宋_GB2312"/>
          <w:sz w:val="32"/>
          <w:szCs w:val="32"/>
        </w:rPr>
        <w:t>个、铜奖另定，国际参赛项目设金奖50个、银奖100个、铜奖350个。</w:t>
      </w:r>
      <w:r>
        <w:rPr>
          <w:rFonts w:ascii="Times New Roman" w:hAnsi="Times New Roman" w:eastAsia="仿宋_GB2312"/>
          <w:sz w:val="32"/>
          <w:szCs w:val="32"/>
        </w:rPr>
        <w:br w:type="page"/>
      </w:r>
    </w:p>
    <w:p w14:paraId="1014FB43">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附件2</w:t>
      </w:r>
    </w:p>
    <w:p w14:paraId="2A4DDEA6">
      <w:pPr>
        <w:adjustRightInd w:val="0"/>
        <w:spacing w:line="540" w:lineRule="exact"/>
        <w:rPr>
          <w:rFonts w:ascii="Times New Roman" w:hAnsi="Times New Roman" w:eastAsia="黑体"/>
          <w:sz w:val="32"/>
          <w:szCs w:val="32"/>
        </w:rPr>
      </w:pPr>
    </w:p>
    <w:p w14:paraId="03CD16D8">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19BCC2C">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“青年红色筑梦之旅”活动方案</w:t>
      </w:r>
    </w:p>
    <w:p w14:paraId="195F9D80">
      <w:pPr>
        <w:spacing w:line="540" w:lineRule="exact"/>
        <w:rPr>
          <w:rFonts w:ascii="Times New Roman" w:hAnsi="Times New Roman" w:eastAsia="仿宋_GB2312"/>
          <w:sz w:val="32"/>
          <w:szCs w:val="32"/>
        </w:rPr>
      </w:pPr>
    </w:p>
    <w:p w14:paraId="4095CC7D">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5）继续在更大范围、更高层次、更有温度、更深程度上开展“青年红色筑梦之旅”活动。具体方案如下。</w:t>
      </w:r>
    </w:p>
    <w:p w14:paraId="3831AAFA">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一、主要目标</w:t>
      </w:r>
    </w:p>
    <w:p w14:paraId="7A09D7DD">
      <w:pPr>
        <w:spacing w:line="540" w:lineRule="exact"/>
        <w:ind w:firstLine="640" w:firstLineChars="200"/>
        <w:rPr>
          <w:rFonts w:ascii="仿宋_GB2312" w:eastAsia="仿宋_GB2312"/>
          <w:sz w:val="32"/>
          <w:szCs w:val="32"/>
        </w:rPr>
      </w:pPr>
      <w:r>
        <w:rPr>
          <w:rFonts w:hint="eastAsia" w:ascii="仿宋_GB2312" w:eastAsia="仿宋_GB2312"/>
          <w:sz w:val="32"/>
          <w:szCs w:val="32"/>
        </w:rPr>
        <w:t>不断拓展“青年红色筑梦之旅”活动的时代内涵，推动习近平新时代中国特色社会主义思想入眼入耳入脑入心，使广大青年学生深刻领悟“两个确立”的决定性意义，增强“四个意识”，坚定“四个自信”，做到“两个维护”，坚定不移听党话、跟党走，厚植家国情怀、扎根中国大地，用创新实践服务国家、服务人民，将个人奋斗融入强国建设、民族复兴伟业，成为社会主义合格建设者和可靠接班人，为全面建设社会主义现代化国家贡献青春力量。</w:t>
      </w:r>
    </w:p>
    <w:p w14:paraId="6CFFD751">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二、主要活动与时间安排</w:t>
      </w:r>
    </w:p>
    <w:p w14:paraId="55F7C977">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（一）制定方案（2025年</w:t>
      </w:r>
      <w:r>
        <w:rPr>
          <w:rFonts w:ascii="Times New Roman" w:hAnsi="Times New Roman" w:eastAsia="楷体_GB2312"/>
          <w:sz w:val="32"/>
          <w:szCs w:val="32"/>
        </w:rPr>
        <w:t>4</w:t>
      </w: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月）</w:t>
      </w:r>
    </w:p>
    <w:p w14:paraId="0FAA9315">
      <w:pPr>
        <w:spacing w:line="540" w:lineRule="exact"/>
        <w:ind w:firstLine="640" w:firstLineChars="200"/>
        <w:rPr>
          <w:rFonts w:ascii="Times New Roman" w:hAnsi="Times New Roman" w:eastAsia="楷体_GB2312"/>
          <w:sz w:val="32"/>
          <w:szCs w:val="32"/>
        </w:rPr>
      </w:pPr>
      <w:r>
        <w:rPr>
          <w:rFonts w:hint="eastAsia" w:ascii="仿宋_GB2312" w:eastAsia="仿宋_GB2312"/>
          <w:sz w:val="32"/>
          <w:szCs w:val="32"/>
        </w:rPr>
        <w:t>各省级教育行政部门要聚焦科技创新、乡村振兴、城市社区治理、城乡融合发展，结合地方实际需求，制定本地</w:t>
      </w:r>
      <w:r>
        <w:rPr>
          <w:rFonts w:ascii="Times New Roman" w:hAnsi="Times New Roman" w:eastAsia="仿宋_GB2312" w:cs="Times New Roman"/>
          <w:sz w:val="32"/>
          <w:szCs w:val="32"/>
        </w:rPr>
        <w:t>2025</w:t>
      </w:r>
      <w:r>
        <w:rPr>
          <w:rFonts w:hint="eastAsia" w:ascii="仿宋_GB2312" w:eastAsia="仿宋_GB2312"/>
          <w:sz w:val="32"/>
          <w:szCs w:val="32"/>
        </w:rPr>
        <w:t>年“青年红色筑梦之旅”活动方案，要明确活动时间、地点、规模、形式、支持条件等内容，并于</w:t>
      </w:r>
      <w:r>
        <w:rPr>
          <w:rFonts w:ascii="Times New Roman" w:hAnsi="Times New Roman" w:eastAsia="仿宋_GB2312" w:cs="Times New Roman"/>
          <w:sz w:val="32"/>
          <w:szCs w:val="32"/>
        </w:rPr>
        <w:t>2025</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lang w:val="en-US" w:eastAsia="zh-CN"/>
        </w:rPr>
        <w:t>5</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20</w:t>
      </w:r>
      <w:r>
        <w:rPr>
          <w:rFonts w:hint="eastAsia" w:ascii="仿宋_GB2312" w:eastAsia="仿宋_GB2312"/>
          <w:sz w:val="32"/>
          <w:szCs w:val="32"/>
        </w:rPr>
        <w:t>日前报送至大赛组委会</w:t>
      </w:r>
      <w:r>
        <w:rPr>
          <w:rFonts w:hint="eastAsia" w:ascii="Times New Roman" w:hAnsi="Times New Roman" w:eastAsia="仿宋_GB2312"/>
          <w:sz w:val="32"/>
          <w:szCs w:val="32"/>
        </w:rPr>
        <w:t>（电子邮箱：</w:t>
      </w:r>
      <w:r>
        <w:rPr>
          <w:rFonts w:ascii="Times New Roman" w:hAnsi="Times New Roman" w:eastAsia="仿宋_GB2312"/>
          <w:sz w:val="32"/>
          <w:szCs w:val="32"/>
        </w:rPr>
        <w:t>internetplus@moe.edu.cn</w:t>
      </w:r>
      <w:r>
        <w:rPr>
          <w:rFonts w:hint="eastAsia" w:ascii="Times New Roman" w:hAnsi="Times New Roman" w:eastAsia="仿宋_GB2312"/>
          <w:sz w:val="32"/>
          <w:szCs w:val="32"/>
        </w:rPr>
        <w:t>）。</w:t>
      </w:r>
    </w:p>
    <w:p w14:paraId="1B2E4311">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（二）活动报名（2025年4—7月）</w:t>
      </w:r>
    </w:p>
    <w:p w14:paraId="430ADF6A">
      <w:pPr>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各省级教育行政部门要积极挖掘本地优质创新创业项目参与活动，组织团队登录全国大学生创业服务网（网址：</w:t>
      </w:r>
      <w:r>
        <w:rPr>
          <w:rFonts w:ascii="Times New Roman" w:hAnsi="Times New Roman" w:eastAsia="仿宋_GB2312"/>
          <w:sz w:val="32"/>
          <w:szCs w:val="32"/>
        </w:rPr>
        <w:t>https://</w:t>
      </w:r>
      <w:r>
        <w:rPr>
          <w:rFonts w:hint="eastAsia" w:ascii="Times New Roman" w:hAnsi="Times New Roman" w:eastAsia="仿宋_GB2312"/>
          <w:sz w:val="32"/>
          <w:szCs w:val="32"/>
        </w:rPr>
        <w:t>cy.ncss.cn）或微信公众号（名称为“全国大学生创业服务网”或“中国国际大学生创新大赛”）进行报名，报名系统开放时间为</w:t>
      </w:r>
      <w:r>
        <w:rPr>
          <w:rFonts w:hint="eastAsia" w:ascii="Times New Roman" w:hAnsi="Times New Roman" w:eastAsia="仿宋_GB2312"/>
          <w:sz w:val="32"/>
          <w:szCs w:val="32"/>
          <w:lang w:val="en-US" w:eastAsia="zh-CN"/>
        </w:rPr>
        <w:t>5</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9</w:t>
      </w:r>
      <w:r>
        <w:rPr>
          <w:rFonts w:hint="eastAsia" w:ascii="Times New Roman" w:hAnsi="Times New Roman" w:eastAsia="仿宋_GB2312"/>
          <w:sz w:val="32"/>
          <w:szCs w:val="32"/>
        </w:rPr>
        <w:t>日至7月</w:t>
      </w:r>
      <w:r>
        <w:rPr>
          <w:rFonts w:ascii="Times New Roman" w:hAnsi="Times New Roman" w:eastAsia="仿宋_GB2312"/>
          <w:sz w:val="32"/>
          <w:szCs w:val="32"/>
        </w:rPr>
        <w:t>1</w:t>
      </w:r>
      <w:r>
        <w:rPr>
          <w:rFonts w:hint="eastAsia" w:ascii="Times New Roman" w:hAnsi="Times New Roman" w:eastAsia="仿宋_GB2312"/>
          <w:sz w:val="32"/>
          <w:szCs w:val="32"/>
        </w:rPr>
        <w:t>日。</w:t>
      </w:r>
    </w:p>
    <w:p w14:paraId="3D9FB1D7">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（三）组织实施（2025年</w:t>
      </w:r>
      <w:r>
        <w:rPr>
          <w:rFonts w:hint="eastAsia" w:ascii="Times New Roman" w:hAnsi="Times New Roman" w:eastAsia="楷体_GB2312"/>
          <w:sz w:val="32"/>
          <w:szCs w:val="32"/>
          <w:lang w:val="en-US" w:eastAsia="zh-CN"/>
        </w:rPr>
        <w:t>5</w:t>
      </w:r>
      <w:r>
        <w:rPr>
          <w:rFonts w:hint="eastAsia" w:ascii="Times New Roman" w:hAnsi="Times New Roman" w:eastAsia="楷体_GB2312"/>
          <w:sz w:val="32"/>
          <w:szCs w:val="32"/>
        </w:rPr>
        <w:t>—8月）</w:t>
      </w:r>
    </w:p>
    <w:p w14:paraId="4A14DAA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省级教育行政部门在全面总结历年“青年红色筑梦之旅”活动的基础上，负责组织本地“青年红色筑梦之旅”活动，认真做好需求对接、培训宣传及创造项目落地环境等工作。大学生项目团队要积极深入城乡基层，利用专业知识开展创新创业。高校要通过大学生创新创业训练计划项目、创新创业专项经费、校地协同等多种形式，努力实现项目长期对接。</w:t>
      </w:r>
    </w:p>
    <w:p w14:paraId="0764B822">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四</w:t>
      </w:r>
      <w:r>
        <w:rPr>
          <w:rFonts w:hint="eastAsia" w:ascii="Times New Roman" w:hAnsi="Times New Roman" w:eastAsia="楷体_GB2312"/>
          <w:sz w:val="32"/>
          <w:szCs w:val="32"/>
        </w:rPr>
        <w:t>）总结表彰（2025年</w:t>
      </w:r>
      <w:r>
        <w:rPr>
          <w:rFonts w:hint="eastAsia" w:ascii="Times New Roman" w:hAnsi="Times New Roman" w:eastAsia="楷体_GB2312"/>
          <w:sz w:val="32"/>
          <w:szCs w:val="32"/>
          <w:lang w:val="en-US" w:eastAsia="zh-CN"/>
        </w:rPr>
        <w:t>9</w:t>
      </w:r>
      <w:r>
        <w:rPr>
          <w:rFonts w:hint="eastAsia" w:ascii="Times New Roman" w:hAnsi="Times New Roman" w:eastAsia="楷体_GB2312"/>
          <w:sz w:val="32"/>
          <w:szCs w:val="32"/>
        </w:rPr>
        <w:t>—</w:t>
      </w:r>
      <w:r>
        <w:rPr>
          <w:rFonts w:hint="eastAsia" w:ascii="Times New Roman" w:hAnsi="Times New Roman" w:eastAsia="楷体_GB2312"/>
          <w:sz w:val="32"/>
          <w:szCs w:val="32"/>
          <w:lang w:val="en-US" w:eastAsia="zh-CN"/>
        </w:rPr>
        <w:t>10</w:t>
      </w:r>
      <w:r>
        <w:rPr>
          <w:rFonts w:hint="eastAsia" w:ascii="Times New Roman" w:hAnsi="Times New Roman" w:eastAsia="楷体_GB2312"/>
          <w:sz w:val="32"/>
          <w:szCs w:val="32"/>
        </w:rPr>
        <w:t>月）</w:t>
      </w:r>
    </w:p>
    <w:p w14:paraId="1BC45986">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各地各高校要及时做好本次活动的经验总结和成果宣传。</w:t>
      </w:r>
    </w:p>
    <w:p w14:paraId="190995EA">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三、“青年红色筑梦之旅”赛道安排 </w:t>
      </w:r>
    </w:p>
    <w:p w14:paraId="1FD280D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参加“青年红色筑梦之旅”活动的项目，符合大赛参赛要求的，可自主选择参加“青年红色筑梦之旅”赛道。</w:t>
      </w:r>
    </w:p>
    <w:p w14:paraId="4C5E1913">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（一）参赛项目要求</w:t>
      </w:r>
    </w:p>
    <w:p w14:paraId="0127DD84">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1.参加“青年红色筑梦之旅”赛道的项目应符合大赛参赛项目要求，同时在推进农业农村、城乡社区经济社会发展等方面有创新性、实效性和可持续性。</w:t>
      </w:r>
    </w:p>
    <w:p w14:paraId="6A03247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2.以团队为单位报名参赛。允许跨校组建团队，每个团队的参赛成员不少于3人，不多于15人（含团队负责人），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。参赛团队所报参赛创业项目，须为本团队策划或经营的项目，不得借用他人项目参赛。</w:t>
      </w:r>
    </w:p>
    <w:p w14:paraId="31102E6F">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参赛申报人须为项目负责人，须为普通高等学校全日制在校生（包括本专科生、研究生，不含在职教育），或毕业5年以内的全日制学生（即2020年之后的毕业生，不含在职教育）；国家开放大学学生（仅限学历教育）。企业法定代表人在大赛通知发布之日后进行变更的不予认可。</w:t>
      </w:r>
    </w:p>
    <w:p w14:paraId="7FAACD62">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（二）参赛组别和对象</w:t>
      </w:r>
    </w:p>
    <w:p w14:paraId="6694661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参加“青年红色筑梦之旅”赛道的项目，须为参加“青年红色筑梦之旅”活动的项目。否则一经发现，取消参赛资格。根据项目性质和特点，分为公益组、创意组、创业组。</w:t>
      </w:r>
    </w:p>
    <w:p w14:paraId="011A644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1.公益组</w:t>
      </w:r>
    </w:p>
    <w:p w14:paraId="43BE9AD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（1）参赛项目不以营利为目标，积极弘扬公益精神，在公益服务领域具有较好的创意、产品或服务模式的创新实践。</w:t>
      </w:r>
    </w:p>
    <w:p w14:paraId="0BB104A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（2）参赛申报主体为独立的公益项目或社会组织，注册或未注册成立公益机构（或社会组织）的项目均可参赛。</w:t>
      </w:r>
    </w:p>
    <w:p w14:paraId="62E18C6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2.创意组</w:t>
      </w:r>
    </w:p>
    <w:p w14:paraId="2A296C64">
      <w:pPr>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（1）参赛项目基于专业和学科背景或相关资源，解决农业农村和城乡社区发展面临的主要问题，助力乡村振兴和社区治理，推动经济价值和社会价值的共同发展。</w:t>
      </w:r>
    </w:p>
    <w:p w14:paraId="27037C8F">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（2）参赛项目在大赛通知下发之日前尚未完成工商等各类登记注册。</w:t>
      </w:r>
    </w:p>
    <w:p w14:paraId="15227831">
      <w:pPr>
        <w:spacing w:line="536"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3.创业组</w:t>
      </w:r>
    </w:p>
    <w:p w14:paraId="1C826772">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（1）参赛项目以商业手段解决农业农村和城乡社区发展面临的主要问题、助力乡村振兴和社区治理，实现经济价值和社会价值的共同发展，推动共同富裕。</w:t>
      </w:r>
    </w:p>
    <w:p w14:paraId="1BD78555">
      <w:pPr>
        <w:spacing w:line="536"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（2）参赛项目在大赛通知下发之日前已完成工商等各类登记注册，项目负责人须为法定代表人。项目的股权结构中，企业法定代表人的股权不得少于10%，参赛成员股权合计不得少于1/3。</w:t>
      </w:r>
    </w:p>
    <w:p w14:paraId="3ECB44F6">
      <w:pPr>
        <w:spacing w:line="536"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 xml:space="preserve">（三）奖项设置 </w:t>
      </w:r>
    </w:p>
    <w:p w14:paraId="00B10692">
      <w:pPr>
        <w:widowControl w:val="0"/>
        <w:spacing w:line="540" w:lineRule="exact"/>
        <w:ind w:firstLine="640" w:firstLineChars="200"/>
        <w:jc w:val="left"/>
        <w:rPr>
          <w:rFonts w:ascii="Times New Roman" w:hAnsi="Times New Roman" w:eastAsia="仿宋_GB2312"/>
          <w:sz w:val="32"/>
          <w:szCs w:val="32"/>
        </w:rPr>
      </w:pPr>
      <w:r>
        <w:rPr>
          <w:rFonts w:hint="eastAsia" w:ascii="Times New Roman" w:hAnsi="Times New Roman" w:eastAsia="仿宋_GB2312"/>
          <w:sz w:val="32"/>
          <w:szCs w:val="32"/>
        </w:rPr>
        <w:t>本赛道设置金奖7</w:t>
      </w:r>
      <w:r>
        <w:rPr>
          <w:rFonts w:ascii="Times New Roman" w:hAnsi="Times New Roman" w:eastAsia="仿宋_GB2312"/>
          <w:sz w:val="32"/>
          <w:szCs w:val="32"/>
        </w:rPr>
        <w:t>0</w:t>
      </w:r>
      <w:r>
        <w:rPr>
          <w:rFonts w:hint="eastAsia" w:ascii="Times New Roman" w:hAnsi="Times New Roman" w:eastAsia="仿宋_GB2312"/>
          <w:sz w:val="32"/>
          <w:szCs w:val="32"/>
        </w:rPr>
        <w:t>个、银奖</w:t>
      </w:r>
      <w:r>
        <w:rPr>
          <w:rFonts w:ascii="Times New Roman" w:hAnsi="Times New Roman" w:eastAsia="仿宋_GB2312"/>
          <w:sz w:val="32"/>
          <w:szCs w:val="32"/>
        </w:rPr>
        <w:t>1</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个、铜奖</w:t>
      </w:r>
      <w:r>
        <w:rPr>
          <w:rFonts w:ascii="Times New Roman" w:hAnsi="Times New Roman" w:eastAsia="仿宋_GB2312"/>
          <w:sz w:val="32"/>
          <w:szCs w:val="32"/>
        </w:rPr>
        <w:t>4</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w:t>
      </w:r>
    </w:p>
    <w:p w14:paraId="23231EA8">
      <w:pPr>
        <w:spacing w:line="536"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 xml:space="preserve">四、工作要求 </w:t>
      </w:r>
    </w:p>
    <w:p w14:paraId="2B255A22">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（一）高度重视、精心组织。</w:t>
      </w:r>
      <w:r>
        <w:rPr>
          <w:rFonts w:hint="eastAsia" w:ascii="Times New Roman" w:hAnsi="Times New Roman" w:eastAsia="仿宋_GB2312"/>
          <w:sz w:val="32"/>
          <w:szCs w:val="32"/>
        </w:rPr>
        <w:t>各地要成立专项工作组，推动形成政府、企业、社会联动共推的机制，确保各项工作落到实处。</w:t>
      </w:r>
    </w:p>
    <w:p w14:paraId="53AA5A60">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（二）统筹资源、加强保障。</w:t>
      </w:r>
      <w:r>
        <w:rPr>
          <w:rFonts w:hint="eastAsia" w:ascii="Times New Roman" w:hAnsi="Times New Roman" w:eastAsia="仿宋_GB2312"/>
          <w:sz w:val="32"/>
          <w:szCs w:val="32"/>
        </w:rPr>
        <w:t>各地要积极协调地方政府有关部门，以及行业企业、公益机构、投资机构等，通过政策倾斜、资金支持、设立公益基金等方式为活动提供保障。</w:t>
      </w:r>
    </w:p>
    <w:p w14:paraId="19EF234C">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（三）广泛宣传、营造氛围。</w:t>
      </w:r>
      <w:r>
        <w:rPr>
          <w:rFonts w:hint="eastAsia" w:ascii="Times New Roman" w:hAnsi="Times New Roman" w:eastAsia="仿宋_GB2312"/>
          <w:sz w:val="32"/>
          <w:szCs w:val="32"/>
        </w:rPr>
        <w:t>各地应认真做好本次活动的宣传工作，通过提前谋划、集中启动、媒体传播，线上线下共同发力，全面展示各地各高校青年大学生参与活动的生动实践和良好精神风貌。</w:t>
      </w:r>
    </w:p>
    <w:p w14:paraId="2C05BEA6">
      <w:pPr>
        <w:spacing w:line="536"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（四）敢于尝试、积极创新。</w:t>
      </w:r>
      <w:r>
        <w:rPr>
          <w:rFonts w:hint="eastAsia" w:ascii="Times New Roman" w:hAnsi="Times New Roman" w:eastAsia="仿宋_GB2312"/>
          <w:sz w:val="32"/>
          <w:szCs w:val="32"/>
        </w:rPr>
        <w:t>利用网络直播、短视频等新型传播与销售途径，引导、助力“青年红色筑梦之旅”项目团队把握机会，积极创新创业。</w:t>
      </w:r>
    </w:p>
    <w:p w14:paraId="5ABD93EC">
      <w:pPr>
        <w:spacing w:line="536" w:lineRule="exact"/>
        <w:jc w:val="left"/>
        <w:rPr>
          <w:rFonts w:ascii="Times New Roman" w:hAnsi="Times New Roman" w:eastAsia="仿宋_GB2312"/>
          <w:sz w:val="32"/>
          <w:szCs w:val="32"/>
        </w:rPr>
      </w:pPr>
      <w:r>
        <w:rPr>
          <w:rFonts w:ascii="Times New Roman" w:hAnsi="Times New Roman" w:eastAsia="仿宋_GB2312"/>
          <w:sz w:val="32"/>
          <w:szCs w:val="32"/>
        </w:rPr>
        <w:br w:type="page"/>
      </w:r>
    </w:p>
    <w:p w14:paraId="6107D9F7">
      <w:pPr>
        <w:adjustRightInd w:val="0"/>
        <w:snapToGrid w:val="0"/>
        <w:spacing w:line="540" w:lineRule="exact"/>
        <w:rPr>
          <w:rFonts w:hint="eastAsia" w:ascii="黑体" w:hAnsi="黑体" w:eastAsia="黑体" w:cs="黑体"/>
          <w:sz w:val="32"/>
          <w:szCs w:val="32"/>
        </w:rPr>
      </w:pPr>
      <w:r>
        <w:rPr>
          <w:rFonts w:hint="eastAsia" w:ascii="黑体" w:hAnsi="黑体" w:eastAsia="黑体" w:cs="黑体"/>
          <w:sz w:val="32"/>
          <w:szCs w:val="32"/>
        </w:rPr>
        <w:t>附件3</w:t>
      </w:r>
    </w:p>
    <w:p w14:paraId="01316F6D">
      <w:pPr>
        <w:adjustRightInd w:val="0"/>
        <w:snapToGrid w:val="0"/>
        <w:spacing w:line="540" w:lineRule="exact"/>
        <w:rPr>
          <w:rFonts w:ascii="Times New Roman" w:hAnsi="Times New Roman" w:eastAsia="黑体"/>
          <w:sz w:val="32"/>
          <w:szCs w:val="32"/>
        </w:rPr>
      </w:pPr>
    </w:p>
    <w:p w14:paraId="0E385905">
      <w:pPr>
        <w:snapToGrid w:val="0"/>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25EC7FEE">
      <w:pPr>
        <w:snapToGrid w:val="0"/>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职教赛道方案</w:t>
      </w:r>
    </w:p>
    <w:p w14:paraId="28786706">
      <w:pPr>
        <w:snapToGrid w:val="0"/>
        <w:spacing w:line="540" w:lineRule="exact"/>
        <w:ind w:firstLine="640" w:firstLineChars="200"/>
        <w:rPr>
          <w:rFonts w:ascii="Times New Roman" w:hAnsi="Times New Roman" w:eastAsia="仿宋_GB2312"/>
          <w:sz w:val="32"/>
          <w:szCs w:val="32"/>
        </w:rPr>
      </w:pPr>
    </w:p>
    <w:p w14:paraId="321D72A1">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5）设立职教赛道，推进职业教育领域创新创业教育改革，</w:t>
      </w:r>
      <w:r>
        <w:rPr>
          <w:rFonts w:hint="eastAsia" w:ascii="仿宋_GB2312" w:eastAsia="仿宋_GB2312"/>
          <w:sz w:val="32"/>
          <w:szCs w:val="32"/>
        </w:rPr>
        <w:t>培养技术赋能、跨界融合的新时代大国工匠</w:t>
      </w:r>
      <w:r>
        <w:rPr>
          <w:rFonts w:hint="eastAsia" w:ascii="Times New Roman" w:hAnsi="Times New Roman" w:eastAsia="仿宋_GB2312"/>
          <w:sz w:val="32"/>
          <w:szCs w:val="32"/>
        </w:rPr>
        <w:t>。具体工作方案如下。</w:t>
      </w:r>
    </w:p>
    <w:p w14:paraId="302911AA">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w:t>
      </w:r>
      <w:r>
        <w:rPr>
          <w:rFonts w:hint="eastAsia" w:ascii="Times New Roman" w:hAnsi="Times New Roman" w:eastAsia="黑体"/>
          <w:sz w:val="32"/>
          <w:szCs w:val="32"/>
          <w:lang w:val="en-US" w:eastAsia="zh-CN"/>
        </w:rPr>
        <w:t>参赛</w:t>
      </w:r>
      <w:r>
        <w:rPr>
          <w:rFonts w:hint="eastAsia" w:ascii="Times New Roman" w:hAnsi="Times New Roman" w:eastAsia="黑体"/>
          <w:sz w:val="32"/>
          <w:szCs w:val="32"/>
        </w:rPr>
        <w:t>项目要求</w:t>
      </w:r>
    </w:p>
    <w:p w14:paraId="596B0850">
      <w:pPr>
        <w:snapToGrid w:val="0"/>
        <w:spacing w:line="54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具有明确的技术、工艺或商业模式创新，突出商业运营潜力或实效，体现敬业、精益、专注、创新</w:t>
      </w:r>
      <w:r>
        <w:rPr>
          <w:rFonts w:hint="eastAsia" w:ascii="Times New Roman" w:hAnsi="Times New Roman" w:eastAsia="仿宋_GB2312"/>
          <w:sz w:val="32"/>
          <w:szCs w:val="32"/>
          <w:highlight w:val="none"/>
          <w:lang w:val="en-US" w:eastAsia="zh-CN"/>
        </w:rPr>
        <w:t>等工匠精神内涵的</w:t>
      </w:r>
      <w:r>
        <w:rPr>
          <w:rFonts w:hint="eastAsia" w:ascii="Times New Roman" w:hAnsi="Times New Roman" w:eastAsia="仿宋_GB2312"/>
          <w:sz w:val="32"/>
          <w:szCs w:val="32"/>
          <w:highlight w:val="none"/>
        </w:rPr>
        <w:t>项目。</w:t>
      </w:r>
    </w:p>
    <w:p w14:paraId="169E921D">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二、参赛方式</w:t>
      </w:r>
    </w:p>
    <w:p w14:paraId="539293DE">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（一）职业</w:t>
      </w:r>
      <w:r>
        <w:rPr>
          <w:rFonts w:hint="eastAsia" w:ascii="Times New Roman" w:hAnsi="Times New Roman" w:eastAsia="仿宋_GB2312"/>
          <w:sz w:val="32"/>
          <w:szCs w:val="32"/>
          <w:lang w:val="en-US" w:eastAsia="zh-CN"/>
        </w:rPr>
        <w:t>学</w:t>
      </w:r>
      <w:r>
        <w:rPr>
          <w:rFonts w:hint="eastAsia" w:ascii="Times New Roman" w:hAnsi="Times New Roman" w:eastAsia="仿宋_GB2312"/>
          <w:sz w:val="32"/>
          <w:szCs w:val="32"/>
        </w:rPr>
        <w:t>校（包括职业教育各层次学历教育，不含在职教育）、国家开放大学学生（仅限学历教育）可以报名参赛。</w:t>
      </w:r>
    </w:p>
    <w:p w14:paraId="1229BC71">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（二）大赛以团队为单位报名参赛。允许跨校组建团队，每个团队的参赛成员不少于3人，不多于15人（含团队负责人），</w:t>
      </w:r>
      <w:r>
        <w:rPr>
          <w:rFonts w:hint="eastAsia" w:ascii="Times New Roman" w:hAnsi="Times New Roman" w:eastAsia="仿宋_GB2312"/>
          <w:sz w:val="32"/>
          <w:szCs w:val="36"/>
        </w:rPr>
        <w:t>须为项目的实际核心成员</w:t>
      </w:r>
      <w:r>
        <w:rPr>
          <w:rFonts w:hint="eastAsia" w:ascii="Times New Roman" w:hAnsi="Times New Roman" w:eastAsia="仿宋_GB2312"/>
          <w:sz w:val="32"/>
          <w:szCs w:val="32"/>
        </w:rPr>
        <w:t>。参赛团队所报参赛创业项目，须为本团队策划或经营的项目，不得借用他人项目参赛。</w:t>
      </w:r>
    </w:p>
    <w:p w14:paraId="3DD6253C">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三、参赛组别和对象</w:t>
      </w:r>
    </w:p>
    <w:p w14:paraId="0D4C15B5">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本赛道分为创意组与创业组。</w:t>
      </w:r>
    </w:p>
    <w:p w14:paraId="4F8B2648">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（一）创意组</w:t>
      </w:r>
    </w:p>
    <w:p w14:paraId="265CEF4F">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1.参赛项目具有较好的创意和较为成型的产品原型、服务模式或针对生产加工工艺进行创新的改良技术，在大赛通知下发之日前尚未完成工商等各类登记注册。</w:t>
      </w:r>
    </w:p>
    <w:p w14:paraId="0A3EA943">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参赛申报人须为团队负责人，须为职业</w:t>
      </w:r>
      <w:r>
        <w:rPr>
          <w:rFonts w:hint="eastAsia" w:ascii="Times New Roman" w:hAnsi="Times New Roman" w:eastAsia="仿宋_GB2312"/>
          <w:sz w:val="32"/>
          <w:szCs w:val="32"/>
          <w:lang w:val="en-US" w:eastAsia="zh-CN"/>
        </w:rPr>
        <w:t>学</w:t>
      </w:r>
      <w:r>
        <w:rPr>
          <w:rFonts w:hint="eastAsia" w:ascii="Times New Roman" w:hAnsi="Times New Roman" w:eastAsia="仿宋_GB2312"/>
          <w:sz w:val="32"/>
          <w:szCs w:val="32"/>
        </w:rPr>
        <w:t>校的全日制在校学生或国家开放大学学历教育在读学生。</w:t>
      </w:r>
    </w:p>
    <w:p w14:paraId="0DAC8F48">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仿宋_GB2312"/>
          <w:sz w:val="32"/>
          <w:szCs w:val="32"/>
        </w:rPr>
        <w:t>3</w:t>
      </w:r>
      <w:r>
        <w:rPr>
          <w:rFonts w:ascii="Times New Roman" w:hAnsi="Times New Roman" w:eastAsia="仿宋_GB2312"/>
          <w:sz w:val="32"/>
          <w:szCs w:val="32"/>
        </w:rPr>
        <w:t>.</w:t>
      </w:r>
      <w:r>
        <w:rPr>
          <w:rFonts w:hint="eastAsia" w:ascii="Times New Roman" w:hAnsi="Times New Roman" w:eastAsia="仿宋_GB2312"/>
          <w:sz w:val="32"/>
          <w:szCs w:val="32"/>
        </w:rPr>
        <w:t>学校科技成果转化项目不能参加本组比赛（科技成果的完成人、所有人中参赛申报人排名第一的除外）。</w:t>
      </w:r>
    </w:p>
    <w:p w14:paraId="754013EA">
      <w:pPr>
        <w:snapToGrid w:val="0"/>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（二）创业组</w:t>
      </w:r>
    </w:p>
    <w:p w14:paraId="5BF23C7A">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w:t>
      </w:r>
      <w:r>
        <w:rPr>
          <w:rFonts w:ascii="Times New Roman" w:hAnsi="Times New Roman" w:eastAsia="仿宋_GB2312"/>
          <w:sz w:val="32"/>
          <w:szCs w:val="32"/>
        </w:rPr>
        <w:t>.</w:t>
      </w:r>
      <w:r>
        <w:rPr>
          <w:rFonts w:hint="eastAsia" w:ascii="Times New Roman" w:hAnsi="Times New Roman" w:eastAsia="仿宋_GB2312"/>
          <w:sz w:val="32"/>
          <w:szCs w:val="32"/>
        </w:rPr>
        <w:t>参赛项目在大赛通知下发之日前已完成工商等各类登记注册。</w:t>
      </w:r>
    </w:p>
    <w:p w14:paraId="67209CBA">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w:t>
      </w:r>
      <w:r>
        <w:rPr>
          <w:rFonts w:ascii="Times New Roman" w:hAnsi="Times New Roman" w:eastAsia="仿宋_GB2312"/>
          <w:sz w:val="32"/>
          <w:szCs w:val="32"/>
        </w:rPr>
        <w:t>.</w:t>
      </w:r>
      <w:r>
        <w:rPr>
          <w:rFonts w:hint="eastAsia" w:ascii="Times New Roman" w:hAnsi="Times New Roman" w:eastAsia="仿宋_GB2312"/>
          <w:sz w:val="32"/>
          <w:szCs w:val="32"/>
        </w:rPr>
        <w:t>参赛申报人须为企业法定代表人，须为职业</w:t>
      </w:r>
      <w:r>
        <w:rPr>
          <w:rFonts w:hint="eastAsia" w:ascii="Times New Roman" w:hAnsi="Times New Roman" w:eastAsia="仿宋_GB2312"/>
          <w:sz w:val="32"/>
          <w:szCs w:val="32"/>
          <w:lang w:val="en-US" w:eastAsia="zh-CN"/>
        </w:rPr>
        <w:t>学</w:t>
      </w:r>
      <w:r>
        <w:rPr>
          <w:rFonts w:hint="eastAsia" w:ascii="Times New Roman" w:hAnsi="Times New Roman" w:eastAsia="仿宋_GB2312"/>
          <w:sz w:val="32"/>
          <w:szCs w:val="32"/>
        </w:rPr>
        <w:t>校全日制在校学生或毕业5年内的学生（即2020年之后的毕业生）、国家开放大学学历教育在读学生或毕业5年内的学生（即2020年6月之后的毕业生）。企业法人在大赛通知发布之日后进行变更的不予认可。</w:t>
      </w:r>
    </w:p>
    <w:p w14:paraId="40C55F88">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3.项目的股权结构中，企业法定代表人的股权不得少于10%，参赛团队成员股权合计不得少于1/3。</w:t>
      </w:r>
    </w:p>
    <w:p w14:paraId="1FE37451">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四、奖项设置</w:t>
      </w:r>
    </w:p>
    <w:p w14:paraId="7050DF74">
      <w:pPr>
        <w:snapToGrid w:val="0"/>
        <w:spacing w:line="540" w:lineRule="exact"/>
        <w:ind w:firstLine="624" w:firstLineChars="200"/>
        <w:rPr>
          <w:rFonts w:hint="eastAsia" w:ascii="Times New Roman" w:hAnsi="Times New Roman" w:eastAsia="仿宋_GB2312"/>
          <w:spacing w:val="-4"/>
          <w:sz w:val="32"/>
          <w:szCs w:val="32"/>
        </w:rPr>
      </w:pPr>
      <w:r>
        <w:rPr>
          <w:rFonts w:hint="eastAsia" w:ascii="Times New Roman" w:hAnsi="Times New Roman" w:eastAsia="仿宋_GB2312"/>
          <w:spacing w:val="-4"/>
          <w:sz w:val="32"/>
          <w:szCs w:val="32"/>
        </w:rPr>
        <w:t>本赛道设置金奖7</w:t>
      </w:r>
      <w:r>
        <w:rPr>
          <w:rFonts w:ascii="Times New Roman" w:hAnsi="Times New Roman" w:eastAsia="仿宋_GB2312"/>
          <w:spacing w:val="-4"/>
          <w:sz w:val="32"/>
          <w:szCs w:val="32"/>
        </w:rPr>
        <w:t>0</w:t>
      </w:r>
      <w:r>
        <w:rPr>
          <w:rFonts w:hint="eastAsia" w:ascii="Times New Roman" w:hAnsi="Times New Roman" w:eastAsia="仿宋_GB2312"/>
          <w:spacing w:val="-4"/>
          <w:sz w:val="32"/>
          <w:szCs w:val="32"/>
        </w:rPr>
        <w:t>个、银奖</w:t>
      </w:r>
      <w:r>
        <w:rPr>
          <w:rFonts w:ascii="Times New Roman" w:hAnsi="Times New Roman" w:eastAsia="仿宋_GB2312"/>
          <w:spacing w:val="-4"/>
          <w:sz w:val="32"/>
          <w:szCs w:val="32"/>
        </w:rPr>
        <w:t>1</w:t>
      </w:r>
      <w:r>
        <w:rPr>
          <w:rFonts w:hint="eastAsia" w:ascii="Times New Roman" w:hAnsi="Times New Roman" w:eastAsia="仿宋_GB2312"/>
          <w:spacing w:val="-4"/>
          <w:sz w:val="32"/>
          <w:szCs w:val="32"/>
        </w:rPr>
        <w:t>4</w:t>
      </w:r>
      <w:r>
        <w:rPr>
          <w:rFonts w:ascii="Times New Roman" w:hAnsi="Times New Roman" w:eastAsia="仿宋_GB2312"/>
          <w:spacing w:val="-4"/>
          <w:sz w:val="32"/>
          <w:szCs w:val="32"/>
        </w:rPr>
        <w:t>0</w:t>
      </w:r>
      <w:r>
        <w:rPr>
          <w:rFonts w:hint="eastAsia" w:ascii="Times New Roman" w:hAnsi="Times New Roman" w:eastAsia="仿宋_GB2312"/>
          <w:spacing w:val="-4"/>
          <w:sz w:val="32"/>
          <w:szCs w:val="32"/>
        </w:rPr>
        <w:t>个、铜奖</w:t>
      </w:r>
      <w:r>
        <w:rPr>
          <w:rFonts w:ascii="Times New Roman" w:hAnsi="Times New Roman" w:eastAsia="仿宋_GB2312"/>
          <w:spacing w:val="-4"/>
          <w:sz w:val="32"/>
          <w:szCs w:val="32"/>
        </w:rPr>
        <w:t>4</w:t>
      </w:r>
      <w:r>
        <w:rPr>
          <w:rFonts w:hint="eastAsia" w:ascii="Times New Roman" w:hAnsi="Times New Roman" w:eastAsia="仿宋_GB2312"/>
          <w:spacing w:val="-4"/>
          <w:sz w:val="32"/>
          <w:szCs w:val="32"/>
        </w:rPr>
        <w:t>4</w:t>
      </w:r>
      <w:r>
        <w:rPr>
          <w:rFonts w:ascii="Times New Roman" w:hAnsi="Times New Roman" w:eastAsia="仿宋_GB2312"/>
          <w:spacing w:val="-4"/>
          <w:sz w:val="32"/>
          <w:szCs w:val="32"/>
        </w:rPr>
        <w:t>0</w:t>
      </w:r>
      <w:r>
        <w:rPr>
          <w:rFonts w:hint="eastAsia" w:ascii="Times New Roman" w:hAnsi="Times New Roman" w:eastAsia="仿宋_GB2312"/>
          <w:spacing w:val="-4"/>
          <w:sz w:val="32"/>
          <w:szCs w:val="32"/>
        </w:rPr>
        <w:t>个。</w:t>
      </w:r>
    </w:p>
    <w:p w14:paraId="1389A198">
      <w:pPr>
        <w:snapToGrid w:val="0"/>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五、其他</w:t>
      </w:r>
    </w:p>
    <w:p w14:paraId="4BC5652F">
      <w:pPr>
        <w:snapToGrid w:val="0"/>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各地要成立有职业教育部门参与的职教赛道工作小组，推进各阶段的赛事组织工作。</w:t>
      </w:r>
    </w:p>
    <w:p w14:paraId="16FEFD40">
      <w:pPr>
        <w:widowControl w:val="0"/>
        <w:snapToGrid w:val="0"/>
        <w:spacing w:line="540" w:lineRule="exact"/>
        <w:jc w:val="left"/>
        <w:rPr>
          <w:rFonts w:ascii="Times New Roman" w:hAnsi="Times New Roman" w:eastAsia="黑体"/>
          <w:sz w:val="32"/>
          <w:szCs w:val="32"/>
        </w:rPr>
      </w:pPr>
      <w:r>
        <w:rPr>
          <w:rFonts w:ascii="Times New Roman" w:hAnsi="Times New Roman" w:eastAsia="黑体"/>
          <w:sz w:val="32"/>
          <w:szCs w:val="32"/>
        </w:rPr>
        <w:br w:type="page"/>
      </w:r>
    </w:p>
    <w:p w14:paraId="2523D030">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附件4</w:t>
      </w:r>
    </w:p>
    <w:p w14:paraId="64A55543">
      <w:pPr>
        <w:adjustRightInd w:val="0"/>
        <w:spacing w:line="540" w:lineRule="exact"/>
        <w:rPr>
          <w:rFonts w:ascii="Times New Roman" w:hAnsi="Times New Roman" w:eastAsia="黑体"/>
          <w:sz w:val="32"/>
          <w:szCs w:val="32"/>
        </w:rPr>
      </w:pPr>
    </w:p>
    <w:p w14:paraId="0EA7C30E">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0E413B19">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产业赛道方案</w:t>
      </w:r>
    </w:p>
    <w:p w14:paraId="5B432569">
      <w:pPr>
        <w:spacing w:line="540" w:lineRule="exact"/>
        <w:ind w:firstLine="640" w:firstLineChars="200"/>
        <w:rPr>
          <w:rFonts w:ascii="Times New Roman" w:hAnsi="Times New Roman" w:eastAsia="仿宋_GB2312"/>
          <w:sz w:val="32"/>
          <w:szCs w:val="32"/>
        </w:rPr>
      </w:pPr>
    </w:p>
    <w:p w14:paraId="560E2CBC">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5）设立产业赛道，推进产教融合、科教融汇。具体工作方案如下。</w:t>
      </w:r>
    </w:p>
    <w:p w14:paraId="27B51E19">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一、目标任务</w:t>
      </w:r>
    </w:p>
    <w:p w14:paraId="2E93C3AB">
      <w:pPr>
        <w:spacing w:line="540" w:lineRule="exact"/>
        <w:ind w:firstLine="640" w:firstLineChars="200"/>
        <w:rPr>
          <w:rFonts w:ascii="Times New Roman" w:hAnsi="Times New Roman" w:eastAsia="仿宋_GB2312"/>
          <w:w w:val="99"/>
          <w:sz w:val="32"/>
          <w:szCs w:val="32"/>
        </w:rPr>
      </w:pPr>
      <w:r>
        <w:rPr>
          <w:rFonts w:hint="eastAsia" w:ascii="Times New Roman" w:hAnsi="Times New Roman" w:eastAsia="仿宋_GB2312"/>
          <w:sz w:val="32"/>
          <w:szCs w:val="32"/>
        </w:rPr>
        <w:t>（一）发挥开放创新效用，打通高校智力资源和企业发</w:t>
      </w:r>
      <w:r>
        <w:rPr>
          <w:rFonts w:hint="eastAsia" w:ascii="Times New Roman" w:hAnsi="Times New Roman" w:eastAsia="仿宋_GB2312"/>
          <w:w w:val="99"/>
          <w:sz w:val="32"/>
          <w:szCs w:val="32"/>
        </w:rPr>
        <w:t>展需求，协同解决企业发展中所面临的技术、管理等现实问题。</w:t>
      </w:r>
    </w:p>
    <w:p w14:paraId="5B82BC50">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（二）引导高校将创新创业教育实践与产业发展有机结合，促进学生了解产业发展状况，培养学生解决产业发展问题的能力。</w:t>
      </w:r>
    </w:p>
    <w:p w14:paraId="123FFE47">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（三）聚焦发展新质生产力，立足产业急需，深化新工科、新医科、新农科、新文科产教融合建设，校企协同培育产业新领域、新市场，推动大学生更高质量创业就业。</w:t>
      </w:r>
    </w:p>
    <w:p w14:paraId="406046D3">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二、参赛项目类型</w:t>
      </w:r>
    </w:p>
    <w:p w14:paraId="38C1C4EA">
      <w:pPr>
        <w:spacing w:line="540" w:lineRule="exact"/>
        <w:ind w:firstLine="640" w:firstLineChars="200"/>
        <w:rPr>
          <w:rFonts w:ascii="Times New Roman" w:hAnsi="Times New Roman" w:eastAsia="楷体_GB2312"/>
          <w:sz w:val="32"/>
          <w:szCs w:val="32"/>
        </w:rPr>
      </w:pPr>
      <w:r>
        <w:rPr>
          <w:rFonts w:hint="eastAsia" w:ascii="Times New Roman" w:hAnsi="Times New Roman" w:eastAsia="楷体_GB2312"/>
          <w:sz w:val="32"/>
          <w:szCs w:val="32"/>
        </w:rPr>
        <w:t>（一）企业命题组</w:t>
      </w:r>
    </w:p>
    <w:p w14:paraId="4ED9CDAD">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针对企业开放创新需求，面向产业代表性企业、行业龙头企业、专精特新企业、新型研发机构等征集命题。企业命题应聚焦国家战略性新兴产业方向，倡导新技术、新产品、新业态、新模式。围绕新工科、新医科、新农科、新文科对应的产业和行业领域，基于企业发展真实需求进行申报。</w:t>
      </w:r>
    </w:p>
    <w:p w14:paraId="7667AB0E">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1.产教协同创新组：</w:t>
      </w:r>
      <w:bookmarkStart w:id="1" w:name="_Hlk160545893"/>
      <w:r>
        <w:rPr>
          <w:rFonts w:hint="eastAsia" w:ascii="Times New Roman" w:hAnsi="Times New Roman" w:eastAsia="仿宋_GB2312"/>
          <w:sz w:val="32"/>
          <w:szCs w:val="32"/>
        </w:rPr>
        <w:t>聚焦国家重大战略需求，深度推进产教融合、科教融汇，基于“四新”建设的内涵和要求，</w:t>
      </w:r>
      <w:bookmarkEnd w:id="1"/>
      <w:r>
        <w:rPr>
          <w:rFonts w:hint="eastAsia" w:ascii="Times New Roman" w:hAnsi="Times New Roman" w:eastAsia="仿宋_GB2312"/>
          <w:sz w:val="32"/>
          <w:szCs w:val="32"/>
        </w:rPr>
        <w:t>推动解决制约产业高质量发展的各类难题，加速产业转型升级与迭代创新。</w:t>
      </w:r>
    </w:p>
    <w:p w14:paraId="09B6BE6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区域特色产业组：服务区域经济社会发展，聚焦举办地河南省的七大先进制造业集群（新材料、新能源汽车、电子信息、先进装备、现代医药、现代食品、现代轻纺），提出具有创新性的技术解决方案，助力构建具有竞争力的区域产业生态。</w:t>
      </w:r>
    </w:p>
    <w:p w14:paraId="5EA34017">
      <w:pPr>
        <w:spacing w:line="540" w:lineRule="exact"/>
        <w:ind w:firstLine="640" w:firstLineChars="200"/>
        <w:rPr>
          <w:rFonts w:ascii="Times New Roman" w:hAnsi="Times New Roman" w:eastAsia="楷体_GB2312"/>
          <w:sz w:val="32"/>
          <w:szCs w:val="32"/>
          <w:highlight w:val="none"/>
        </w:rPr>
      </w:pPr>
      <w:r>
        <w:rPr>
          <w:rFonts w:hint="eastAsia" w:ascii="Times New Roman" w:hAnsi="Times New Roman" w:eastAsia="楷体_GB2312"/>
          <w:sz w:val="32"/>
          <w:szCs w:val="32"/>
          <w:highlight w:val="none"/>
        </w:rPr>
        <w:t>（二）成果转化组</w:t>
      </w:r>
    </w:p>
    <w:p w14:paraId="12AF85EE">
      <w:pPr>
        <w:spacing w:line="540" w:lineRule="exact"/>
        <w:ind w:firstLine="640" w:firstLineChars="200"/>
        <w:rPr>
          <w:rFonts w:ascii="Times New Roman" w:hAnsi="Times New Roman" w:eastAsia="仿宋_GB2312"/>
          <w:sz w:val="32"/>
          <w:szCs w:val="32"/>
          <w:highlight w:val="none"/>
        </w:rPr>
      </w:pPr>
      <w:r>
        <w:rPr>
          <w:rFonts w:hint="eastAsia" w:ascii="Times New Roman" w:hAnsi="Times New Roman" w:eastAsia="仿宋_GB2312"/>
          <w:sz w:val="32"/>
          <w:szCs w:val="32"/>
          <w:highlight w:val="none"/>
        </w:rPr>
        <w:t>聚焦高校科研成果转化应用与市场化推广，围绕核心技术专利转化、实验室成果产业化、产业链协同创新等方向，深化产教融合，促进创新链与产业链深度融合，</w:t>
      </w:r>
      <w:r>
        <w:rPr>
          <w:rFonts w:ascii="Times New Roman" w:hAnsi="Times New Roman" w:eastAsia="仿宋_GB2312"/>
          <w:sz w:val="32"/>
          <w:szCs w:val="32"/>
          <w:highlight w:val="none"/>
        </w:rPr>
        <w:t>推动</w:t>
      </w:r>
      <w:r>
        <w:rPr>
          <w:rFonts w:hint="eastAsia" w:ascii="Times New Roman" w:hAnsi="Times New Roman" w:eastAsia="仿宋_GB2312"/>
          <w:sz w:val="32"/>
          <w:szCs w:val="32"/>
          <w:highlight w:val="none"/>
        </w:rPr>
        <w:t>更多高校科技创新成果转化落地，形成现实生产力的项目。</w:t>
      </w:r>
    </w:p>
    <w:p w14:paraId="4156CB53">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三、参赛要求</w:t>
      </w:r>
    </w:p>
    <w:p w14:paraId="536675A4">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（一）本赛道以团队为单位报名参赛，每支参赛团队只能选择一题参加比赛，允许跨校组建、师生共同组建参赛团队，每个团队的成员不少于3人，不多于15人（含团队负责人），须为揭榜答题的实际核心成员。</w:t>
      </w:r>
    </w:p>
    <w:p w14:paraId="1FE6EF79">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项目负责人须为普通高等学校全日制在校生（包括本专科生、研究生，不含在职教育），或毕业5年以内的全日制学生（即2020年之后毕业的本专科生、研究生，不含在职教育）。参赛项目中的教师须为高校教师（2025年7月</w:t>
      </w:r>
      <w:r>
        <w:rPr>
          <w:rFonts w:ascii="Times New Roman" w:hAnsi="Times New Roman" w:eastAsia="仿宋_GB2312"/>
          <w:sz w:val="32"/>
          <w:szCs w:val="32"/>
        </w:rPr>
        <w:t>15</w:t>
      </w:r>
      <w:r>
        <w:rPr>
          <w:rFonts w:hint="eastAsia" w:ascii="Times New Roman" w:hAnsi="Times New Roman" w:eastAsia="仿宋_GB2312"/>
          <w:sz w:val="32"/>
          <w:szCs w:val="32"/>
        </w:rPr>
        <w:t>日前正式入职）。</w:t>
      </w:r>
    </w:p>
    <w:p w14:paraId="3FB925AE">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（三）参赛团队所提交的命题对策须符合所答企业命题要求，命题企业将对命题对策进行契合度审核评价。参赛团队须对提交的应答材料拥有自主知识产权，不得侵犯他人知识产权或物权。</w:t>
      </w:r>
    </w:p>
    <w:p w14:paraId="42C90391">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（四）成果转化组鼓励师生共同组建团队参赛，如已注册成立公司，公司注册年限不得超过5年（2020年3月1日后注册），师生均可为公司法人代表。</w:t>
      </w:r>
      <w:r>
        <w:rPr>
          <w:rFonts w:ascii="Times New Roman" w:hAnsi="Times New Roman" w:eastAsia="仿宋_GB2312"/>
          <w:sz w:val="32"/>
          <w:szCs w:val="32"/>
        </w:rPr>
        <w:t>企业法人代表在大赛通知发布之日后进行变更的不予认可。股权结构中，师生股权合并计算不低于51%，且学生参赛成员合计股份不低于10%</w:t>
      </w:r>
      <w:r>
        <w:rPr>
          <w:rFonts w:hint="eastAsia" w:ascii="Times New Roman" w:hAnsi="Times New Roman" w:eastAsia="仿宋_GB2312"/>
          <w:sz w:val="32"/>
          <w:szCs w:val="32"/>
        </w:rPr>
        <w:t>。</w:t>
      </w:r>
    </w:p>
    <w:p w14:paraId="3917FDFA">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（五）所有参赛材料和现场答辩原则上使用中文或英文，如有其他语言需求，请联系大赛组委会。</w:t>
      </w:r>
    </w:p>
    <w:p w14:paraId="079FF16D">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四、赛程安排</w:t>
      </w:r>
    </w:p>
    <w:p w14:paraId="53AAEB41">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（一）征集命题。</w:t>
      </w:r>
      <w:r>
        <w:rPr>
          <w:rFonts w:hint="eastAsia" w:ascii="Times New Roman" w:hAnsi="Times New Roman" w:eastAsia="仿宋_GB2312"/>
          <w:spacing w:val="-8"/>
          <w:sz w:val="32"/>
          <w:szCs w:val="32"/>
        </w:rPr>
        <w:t>请命题企业于2025年</w:t>
      </w:r>
      <w:r>
        <w:rPr>
          <w:rFonts w:hint="eastAsia" w:ascii="Times New Roman" w:hAnsi="Times New Roman" w:eastAsia="仿宋_GB2312"/>
          <w:spacing w:val="-8"/>
          <w:sz w:val="32"/>
          <w:szCs w:val="32"/>
          <w:lang w:val="en-US" w:eastAsia="zh-CN"/>
        </w:rPr>
        <w:t>5</w:t>
      </w:r>
      <w:r>
        <w:rPr>
          <w:rFonts w:hint="eastAsia" w:ascii="Times New Roman" w:hAnsi="Times New Roman" w:eastAsia="仿宋_GB2312"/>
          <w:spacing w:val="-8"/>
          <w:sz w:val="32"/>
          <w:szCs w:val="32"/>
        </w:rPr>
        <w:t>月</w:t>
      </w:r>
      <w:r>
        <w:rPr>
          <w:rFonts w:hint="eastAsia" w:ascii="Times New Roman" w:hAnsi="Times New Roman" w:eastAsia="仿宋_GB2312"/>
          <w:spacing w:val="-8"/>
          <w:sz w:val="32"/>
          <w:szCs w:val="32"/>
          <w:lang w:val="en-US" w:eastAsia="zh-CN"/>
        </w:rPr>
        <w:t>15</w:t>
      </w:r>
      <w:r>
        <w:rPr>
          <w:rFonts w:hint="eastAsia" w:ascii="Times New Roman" w:hAnsi="Times New Roman" w:eastAsia="仿宋_GB2312"/>
          <w:spacing w:val="-8"/>
          <w:sz w:val="32"/>
          <w:szCs w:val="32"/>
        </w:rPr>
        <w:t>日</w:t>
      </w:r>
      <w:r>
        <w:rPr>
          <w:rFonts w:hint="eastAsia" w:ascii="Times New Roman" w:hAnsi="Times New Roman" w:eastAsia="仿宋_GB2312"/>
          <w:sz w:val="32"/>
          <w:szCs w:val="32"/>
        </w:rPr>
        <w:t>24:</w:t>
      </w:r>
      <w:r>
        <w:rPr>
          <w:rFonts w:ascii="Times New Roman" w:hAnsi="Times New Roman" w:eastAsia="仿宋_GB2312"/>
          <w:sz w:val="32"/>
          <w:szCs w:val="32"/>
        </w:rPr>
        <w:t>00</w:t>
      </w:r>
      <w:r>
        <w:rPr>
          <w:rFonts w:hint="eastAsia" w:ascii="Times New Roman" w:hAnsi="Times New Roman" w:eastAsia="仿宋_GB2312"/>
          <w:sz w:val="32"/>
          <w:szCs w:val="32"/>
        </w:rPr>
        <w:t>前进入全国大学生创业服务网（网址：</w:t>
      </w:r>
      <w:r>
        <w:rPr>
          <w:rFonts w:ascii="Times New Roman" w:hAnsi="Times New Roman" w:eastAsia="仿宋_GB2312"/>
          <w:sz w:val="32"/>
          <w:szCs w:val="32"/>
        </w:rPr>
        <w:t>https://</w:t>
      </w:r>
      <w:r>
        <w:rPr>
          <w:rFonts w:hint="eastAsia" w:ascii="Times New Roman" w:hAnsi="Times New Roman" w:eastAsia="仿宋_GB2312"/>
          <w:sz w:val="32"/>
          <w:szCs w:val="32"/>
        </w:rPr>
        <w:t>cy.ncss.cn）进行中国国际大学生创新大赛（2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w:t>
      </w:r>
      <w:r>
        <w:rPr>
          <w:rFonts w:hint="eastAsia" w:ascii="Times New Roman" w:hAnsi="Times New Roman" w:eastAsia="仿宋_GB2312"/>
          <w:sz w:val="32"/>
          <w:szCs w:val="32"/>
          <w:lang w:val="en-US" w:eastAsia="zh-CN"/>
        </w:rPr>
        <w:t>产业</w:t>
      </w:r>
      <w:r>
        <w:rPr>
          <w:rFonts w:hint="eastAsia" w:ascii="Times New Roman" w:hAnsi="Times New Roman" w:eastAsia="仿宋_GB2312"/>
          <w:sz w:val="32"/>
          <w:szCs w:val="32"/>
        </w:rPr>
        <w:t>赛道命题申报。</w:t>
      </w:r>
    </w:p>
    <w:p w14:paraId="3AA1CBCD">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（二）命题发布。</w:t>
      </w:r>
      <w:r>
        <w:rPr>
          <w:rFonts w:ascii="Times New Roman" w:hAnsi="Times New Roman" w:eastAsia="仿宋_GB2312"/>
          <w:sz w:val="32"/>
          <w:szCs w:val="32"/>
        </w:rPr>
        <w:t>大赛组委会</w:t>
      </w:r>
      <w:r>
        <w:rPr>
          <w:rFonts w:hint="eastAsia" w:ascii="Times New Roman" w:hAnsi="Times New Roman" w:eastAsia="仿宋_GB2312"/>
          <w:sz w:val="32"/>
          <w:szCs w:val="32"/>
        </w:rPr>
        <w:t>组织专家，</w:t>
      </w:r>
      <w:r>
        <w:rPr>
          <w:rFonts w:ascii="Times New Roman" w:hAnsi="Times New Roman" w:eastAsia="仿宋_GB2312"/>
          <w:sz w:val="32"/>
          <w:szCs w:val="32"/>
        </w:rPr>
        <w:t>对</w:t>
      </w:r>
      <w:r>
        <w:rPr>
          <w:rFonts w:hint="eastAsia" w:ascii="Times New Roman" w:hAnsi="Times New Roman" w:eastAsia="仿宋_GB2312"/>
          <w:sz w:val="32"/>
          <w:szCs w:val="32"/>
        </w:rPr>
        <w:t>企业申报的</w:t>
      </w:r>
      <w:r>
        <w:rPr>
          <w:rFonts w:ascii="Times New Roman" w:hAnsi="Times New Roman" w:eastAsia="仿宋_GB2312"/>
          <w:sz w:val="32"/>
          <w:szCs w:val="32"/>
        </w:rPr>
        <w:t>命题进行评审遴选</w:t>
      </w:r>
      <w:r>
        <w:rPr>
          <w:rFonts w:hint="eastAsia" w:ascii="Times New Roman" w:hAnsi="Times New Roman" w:eastAsia="仿宋_GB2312"/>
          <w:sz w:val="32"/>
          <w:szCs w:val="32"/>
        </w:rPr>
        <w:t>。入选命题于5月</w:t>
      </w:r>
      <w:r>
        <w:rPr>
          <w:rFonts w:hint="eastAsia" w:ascii="Times New Roman" w:hAnsi="Times New Roman" w:eastAsia="仿宋_GB2312"/>
          <w:sz w:val="32"/>
          <w:szCs w:val="32"/>
          <w:lang w:val="en-US" w:eastAsia="zh-CN"/>
        </w:rPr>
        <w:t>下旬</w:t>
      </w:r>
      <w:r>
        <w:rPr>
          <w:rFonts w:hint="eastAsia" w:ascii="Times New Roman" w:hAnsi="Times New Roman" w:eastAsia="仿宋_GB2312"/>
          <w:sz w:val="32"/>
          <w:szCs w:val="32"/>
        </w:rPr>
        <w:t>在全国大学生创业服务网公开发布和全球青年创新领袖共同体促进会（PILC）官网（网址：www.pilcchina.org）公开发布。</w:t>
      </w:r>
    </w:p>
    <w:p w14:paraId="4EA3109C">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（三）参赛报名。</w:t>
      </w:r>
      <w:r>
        <w:rPr>
          <w:rFonts w:hint="eastAsia" w:ascii="Times New Roman" w:hAnsi="Times New Roman" w:eastAsia="仿宋_GB2312"/>
          <w:sz w:val="32"/>
          <w:szCs w:val="32"/>
        </w:rPr>
        <w:t>各省级教育行政部门及各有关学校负责审核参赛对象资格。中国大陆和港澳台地区参赛团队通过登录全国大学生创业服务网进行报名。国际参赛团队通过登录全球青年创新领袖共同体促进会（PILC）官网进行报名。参赛报名及对策提交的截止时间为北京时间2025年7月</w:t>
      </w:r>
      <w:r>
        <w:rPr>
          <w:rFonts w:ascii="Times New Roman" w:hAnsi="Times New Roman" w:eastAsia="仿宋_GB2312"/>
          <w:sz w:val="32"/>
          <w:szCs w:val="32"/>
        </w:rPr>
        <w:t>1</w:t>
      </w:r>
      <w:r>
        <w:rPr>
          <w:rFonts w:hint="eastAsia" w:ascii="Times New Roman" w:hAnsi="Times New Roman" w:eastAsia="仿宋_GB2312"/>
          <w:sz w:val="32"/>
          <w:szCs w:val="32"/>
        </w:rPr>
        <w:t>日24:</w:t>
      </w:r>
      <w:r>
        <w:rPr>
          <w:rFonts w:ascii="Times New Roman" w:hAnsi="Times New Roman" w:eastAsia="仿宋_GB2312"/>
          <w:sz w:val="32"/>
          <w:szCs w:val="32"/>
        </w:rPr>
        <w:t>00</w:t>
      </w:r>
      <w:r>
        <w:rPr>
          <w:rFonts w:hint="eastAsia" w:ascii="Times New Roman" w:hAnsi="Times New Roman" w:eastAsia="仿宋_GB2312"/>
          <w:sz w:val="32"/>
          <w:szCs w:val="32"/>
        </w:rPr>
        <w:t>。请命题企业、学校及参赛团队登录全国大学生创业服务网，查看校企对接的具体流程，积极开展对接，确保供需互通。</w:t>
      </w:r>
    </w:p>
    <w:p w14:paraId="2BE084E3">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（四）初赛复赛</w:t>
      </w:r>
      <w:r>
        <w:rPr>
          <w:rFonts w:hint="eastAsia" w:ascii="Times New Roman" w:hAnsi="Times New Roman" w:eastAsia="仿宋_GB2312"/>
          <w:sz w:val="32"/>
          <w:szCs w:val="32"/>
        </w:rPr>
        <w:t>。初赛复赛的比赛环节、评审方式等，由各地结合参赛报名等情况自行决定，项目评审可邀请出题企业的专家共同参与。各地应在</w:t>
      </w:r>
      <w:r>
        <w:rPr>
          <w:rFonts w:hint="eastAsia" w:ascii="Times New Roman" w:hAnsi="Times New Roman" w:eastAsia="仿宋_GB2312"/>
          <w:sz w:val="32"/>
          <w:szCs w:val="32"/>
          <w:lang w:val="en-US" w:eastAsia="zh-CN"/>
        </w:rPr>
        <w:t>8</w:t>
      </w:r>
      <w:r>
        <w:rPr>
          <w:rFonts w:hint="eastAsia" w:ascii="Times New Roman" w:hAnsi="Times New Roman" w:eastAsia="仿宋_GB2312"/>
          <w:sz w:val="32"/>
          <w:szCs w:val="32"/>
        </w:rPr>
        <w:t>月</w:t>
      </w:r>
      <w:r>
        <w:rPr>
          <w:rFonts w:hint="eastAsia" w:ascii="Times New Roman" w:hAnsi="Times New Roman" w:eastAsia="仿宋_GB2312"/>
          <w:sz w:val="32"/>
          <w:szCs w:val="32"/>
          <w:lang w:val="en-US" w:eastAsia="zh-CN"/>
        </w:rPr>
        <w:t>15</w:t>
      </w:r>
      <w:r>
        <w:rPr>
          <w:rFonts w:hint="eastAsia" w:ascii="Times New Roman" w:hAnsi="Times New Roman" w:eastAsia="仿宋_GB2312"/>
          <w:sz w:val="32"/>
          <w:szCs w:val="32"/>
        </w:rPr>
        <w:t>日前完成入围总决赛的项目遴选与推荐工作。各地推荐项目应有名次排序，供总决赛参考。</w:t>
      </w:r>
    </w:p>
    <w:p w14:paraId="7C87215F">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（五）总决赛</w:t>
      </w:r>
      <w:r>
        <w:rPr>
          <w:rFonts w:hint="eastAsia" w:ascii="Times New Roman" w:hAnsi="Times New Roman" w:eastAsia="仿宋_GB2312"/>
          <w:sz w:val="32"/>
          <w:szCs w:val="32"/>
        </w:rPr>
        <w:t>。入围总决赛项目通过对策讲解、实物展示和专家问辩等环节，决出各类奖项。具体安排与大赛整体安排保持一致。</w:t>
      </w:r>
    </w:p>
    <w:p w14:paraId="21361309">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五、奖项设置</w:t>
      </w:r>
    </w:p>
    <w:p w14:paraId="20BE26E4">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本赛道设置金奖7</w:t>
      </w:r>
      <w:r>
        <w:rPr>
          <w:rFonts w:ascii="Times New Roman" w:hAnsi="Times New Roman" w:eastAsia="仿宋_GB2312"/>
          <w:sz w:val="32"/>
          <w:szCs w:val="32"/>
        </w:rPr>
        <w:t>0</w:t>
      </w:r>
      <w:r>
        <w:rPr>
          <w:rFonts w:hint="eastAsia" w:ascii="Times New Roman" w:hAnsi="Times New Roman" w:eastAsia="仿宋_GB2312"/>
          <w:sz w:val="32"/>
          <w:szCs w:val="32"/>
        </w:rPr>
        <w:t>个、银奖</w:t>
      </w:r>
      <w:r>
        <w:rPr>
          <w:rFonts w:ascii="Times New Roman" w:hAnsi="Times New Roman" w:eastAsia="仿宋_GB2312"/>
          <w:sz w:val="32"/>
          <w:szCs w:val="32"/>
        </w:rPr>
        <w:t>1</w:t>
      </w:r>
      <w:r>
        <w:rPr>
          <w:rFonts w:hint="eastAsia" w:ascii="Times New Roman" w:hAnsi="Times New Roman" w:eastAsia="仿宋_GB2312"/>
          <w:sz w:val="32"/>
          <w:szCs w:val="32"/>
        </w:rPr>
        <w:t>4</w:t>
      </w:r>
      <w:r>
        <w:rPr>
          <w:rFonts w:ascii="Times New Roman" w:hAnsi="Times New Roman" w:eastAsia="仿宋_GB2312"/>
          <w:sz w:val="32"/>
          <w:szCs w:val="32"/>
        </w:rPr>
        <w:t>0</w:t>
      </w:r>
      <w:r>
        <w:rPr>
          <w:rFonts w:hint="eastAsia" w:ascii="Times New Roman" w:hAnsi="Times New Roman" w:eastAsia="仿宋_GB2312"/>
          <w:sz w:val="32"/>
          <w:szCs w:val="32"/>
        </w:rPr>
        <w:t>个和铜奖44</w:t>
      </w:r>
      <w:r>
        <w:rPr>
          <w:rFonts w:ascii="Times New Roman" w:hAnsi="Times New Roman" w:eastAsia="仿宋_GB2312"/>
          <w:sz w:val="32"/>
          <w:szCs w:val="32"/>
        </w:rPr>
        <w:t>0</w:t>
      </w:r>
      <w:r>
        <w:rPr>
          <w:rFonts w:hint="eastAsia" w:ascii="Times New Roman" w:hAnsi="Times New Roman" w:eastAsia="仿宋_GB2312"/>
          <w:sz w:val="32"/>
          <w:szCs w:val="32"/>
        </w:rPr>
        <w:t>个。</w:t>
      </w:r>
    </w:p>
    <w:p w14:paraId="45B0912D">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六、其他说明</w:t>
      </w:r>
    </w:p>
    <w:p w14:paraId="319883B2">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（一）大赛组委会不保障所有命题均可揭榜及提交对策满足命题企业要求。2025年大赛未获揭榜的</w:t>
      </w:r>
      <w:r>
        <w:rPr>
          <w:rFonts w:hint="eastAsia" w:ascii="Times New Roman" w:hAnsi="Times New Roman" w:eastAsia="仿宋_GB2312"/>
          <w:sz w:val="32"/>
          <w:szCs w:val="32"/>
          <w:lang w:val="en-US" w:eastAsia="zh-CN"/>
        </w:rPr>
        <w:t>企</w:t>
      </w:r>
      <w:r>
        <w:rPr>
          <w:rFonts w:hint="eastAsia" w:ascii="Times New Roman" w:hAnsi="Times New Roman" w:eastAsia="仿宋_GB2312"/>
          <w:sz w:val="32"/>
          <w:szCs w:val="32"/>
        </w:rPr>
        <w:t>业命题，可在下一年度继续申报。</w:t>
      </w:r>
    </w:p>
    <w:p w14:paraId="60B3D9F5">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二）命题企业需遵守大赛的规章制度，按照大赛的流程和要求参与大赛的相关活动。命题须健康合法，弘扬正能量，知识产权清晰，无任何不良信息，无侵权违法等行为。鼓励企业和高校在赛后积极启动项目对接会，进一步推动项目落地。</w:t>
      </w:r>
    </w:p>
    <w:p w14:paraId="54A7841A">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（三）命题企业需充分开放与所有高校的项目对接沟通，杜绝出现长期与个别高校合作、拒绝与其他高校沟通对接的情况。</w:t>
      </w:r>
    </w:p>
    <w:p w14:paraId="2E0210A6">
      <w:pPr>
        <w:jc w:val="left"/>
        <w:rPr>
          <w:rFonts w:ascii="Times New Roman" w:hAnsi="Times New Roman" w:eastAsia="黑体"/>
          <w:sz w:val="32"/>
          <w:szCs w:val="32"/>
        </w:rPr>
      </w:pPr>
      <w:r>
        <w:rPr>
          <w:rFonts w:ascii="Times New Roman" w:hAnsi="Times New Roman" w:eastAsia="黑体"/>
          <w:sz w:val="32"/>
          <w:szCs w:val="32"/>
        </w:rPr>
        <w:br w:type="page"/>
      </w:r>
    </w:p>
    <w:p w14:paraId="46BEBC52">
      <w:pPr>
        <w:adjustRightInd w:val="0"/>
        <w:spacing w:line="540" w:lineRule="exact"/>
        <w:rPr>
          <w:rFonts w:hint="eastAsia" w:ascii="黑体" w:hAnsi="黑体" w:eastAsia="黑体" w:cs="黑体"/>
          <w:sz w:val="32"/>
          <w:szCs w:val="32"/>
        </w:rPr>
      </w:pPr>
      <w:r>
        <w:rPr>
          <w:rFonts w:hint="eastAsia" w:ascii="黑体" w:hAnsi="黑体" w:eastAsia="黑体" w:cs="黑体"/>
          <w:sz w:val="32"/>
          <w:szCs w:val="32"/>
        </w:rPr>
        <w:t>附件5</w:t>
      </w:r>
    </w:p>
    <w:p w14:paraId="4BCB5B5C">
      <w:pPr>
        <w:adjustRightInd w:val="0"/>
        <w:spacing w:line="540" w:lineRule="exact"/>
        <w:rPr>
          <w:rFonts w:ascii="Times New Roman" w:hAnsi="Times New Roman" w:eastAsia="黑体"/>
          <w:sz w:val="32"/>
          <w:szCs w:val="32"/>
        </w:rPr>
      </w:pPr>
    </w:p>
    <w:p w14:paraId="7DA6BDB4">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中国国际大学生创新大赛（2</w:t>
      </w:r>
      <w:r>
        <w:rPr>
          <w:rFonts w:ascii="Times New Roman" w:hAnsi="Times New Roman" w:eastAsia="方正小标宋简体"/>
          <w:sz w:val="44"/>
          <w:szCs w:val="44"/>
        </w:rPr>
        <w:t>02</w:t>
      </w:r>
      <w:r>
        <w:rPr>
          <w:rFonts w:hint="eastAsia" w:ascii="Times New Roman" w:hAnsi="Times New Roman" w:eastAsia="方正小标宋简体"/>
          <w:sz w:val="44"/>
          <w:szCs w:val="44"/>
        </w:rPr>
        <w:t>5）</w:t>
      </w:r>
    </w:p>
    <w:p w14:paraId="7734189C">
      <w:pPr>
        <w:spacing w:line="540" w:lineRule="exact"/>
        <w:jc w:val="center"/>
        <w:rPr>
          <w:rFonts w:ascii="Times New Roman" w:hAnsi="Times New Roman" w:eastAsia="方正小标宋简体"/>
          <w:sz w:val="44"/>
          <w:szCs w:val="44"/>
        </w:rPr>
      </w:pPr>
      <w:r>
        <w:rPr>
          <w:rFonts w:hint="eastAsia" w:ascii="Times New Roman" w:hAnsi="Times New Roman" w:eastAsia="方正小标宋简体"/>
          <w:sz w:val="44"/>
          <w:szCs w:val="44"/>
        </w:rPr>
        <w:t>萌芽赛道方案</w:t>
      </w:r>
    </w:p>
    <w:p w14:paraId="60F79022">
      <w:pPr>
        <w:spacing w:line="540" w:lineRule="exact"/>
        <w:jc w:val="center"/>
        <w:rPr>
          <w:rFonts w:ascii="Times New Roman" w:hAnsi="Times New Roman" w:eastAsia="方正小标宋简体"/>
          <w:sz w:val="44"/>
          <w:szCs w:val="44"/>
        </w:rPr>
      </w:pPr>
    </w:p>
    <w:p w14:paraId="3B600FCA">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中国国际大学生创新大赛（2</w:t>
      </w:r>
      <w:r>
        <w:rPr>
          <w:rFonts w:ascii="Times New Roman" w:hAnsi="Times New Roman" w:eastAsia="仿宋_GB2312"/>
          <w:sz w:val="32"/>
          <w:szCs w:val="32"/>
        </w:rPr>
        <w:t>02</w:t>
      </w:r>
      <w:r>
        <w:rPr>
          <w:rFonts w:hint="eastAsia" w:ascii="Times New Roman" w:hAnsi="Times New Roman" w:eastAsia="仿宋_GB2312"/>
          <w:sz w:val="32"/>
          <w:szCs w:val="32"/>
        </w:rPr>
        <w:t>5）设立萌芽赛道，</w:t>
      </w:r>
      <w:r>
        <w:rPr>
          <w:rFonts w:hint="eastAsia" w:ascii="仿宋_GB2312" w:eastAsia="仿宋_GB2312"/>
          <w:sz w:val="32"/>
          <w:szCs w:val="32"/>
        </w:rPr>
        <w:t>鼓励学生崇尚科学、探索未知，推动形成各学段有机衔接的创新教育链条，发现和培养基础学科和创新创业后备人才</w:t>
      </w:r>
      <w:r>
        <w:rPr>
          <w:rFonts w:hint="eastAsia" w:ascii="Times New Roman" w:hAnsi="Times New Roman" w:eastAsia="仿宋_GB2312"/>
          <w:sz w:val="32"/>
          <w:szCs w:val="32"/>
        </w:rPr>
        <w:t>。具体工作方案如下。</w:t>
      </w:r>
    </w:p>
    <w:p w14:paraId="5F13477E">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一、目标任务</w:t>
      </w:r>
    </w:p>
    <w:p w14:paraId="23C44F08">
      <w:pPr>
        <w:spacing w:line="540" w:lineRule="exact"/>
        <w:ind w:firstLine="640" w:firstLineChars="200"/>
        <w:rPr>
          <w:rFonts w:ascii="黑体" w:hAnsi="黑体" w:eastAsia="黑体"/>
          <w:sz w:val="32"/>
          <w:szCs w:val="32"/>
        </w:rPr>
      </w:pPr>
      <w:r>
        <w:rPr>
          <w:rFonts w:hint="eastAsia" w:ascii="仿宋_GB2312" w:eastAsia="仿宋_GB2312"/>
          <w:sz w:val="32"/>
          <w:szCs w:val="32"/>
        </w:rPr>
        <w:t>引导中学生开展科技创新、发明创造、社会实践等创新性实践活动，培养其探索性、创新性思维品质，树立科学的人才观、成才观、教育观。</w:t>
      </w:r>
    </w:p>
    <w:p w14:paraId="156CB1C6">
      <w:pPr>
        <w:spacing w:line="540" w:lineRule="exact"/>
        <w:ind w:firstLine="640" w:firstLineChars="200"/>
        <w:rPr>
          <w:rFonts w:ascii="Times New Roman" w:hAnsi="Times New Roman" w:eastAsia="仿宋_GB2312"/>
          <w:sz w:val="32"/>
          <w:szCs w:val="32"/>
        </w:rPr>
      </w:pPr>
      <w:r>
        <w:rPr>
          <w:rFonts w:hint="eastAsia" w:ascii="Times New Roman" w:hAnsi="Times New Roman" w:eastAsia="黑体"/>
          <w:sz w:val="32"/>
          <w:szCs w:val="32"/>
        </w:rPr>
        <w:t>二、参赛对象</w:t>
      </w:r>
    </w:p>
    <w:p w14:paraId="0345E6D1">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普通高级中学在校学生。参赛学生须为项目的实际成员，鼓励学生以团队为单位参加（团队成员不超过15人），允许跨校组建团队。</w:t>
      </w:r>
    </w:p>
    <w:p w14:paraId="341498B1">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三、参赛项目要求</w:t>
      </w:r>
    </w:p>
    <w:p w14:paraId="16CDBC3C">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一）项目应紧密融合学习、生活、社会实践，鼓励运用人工智能等技术创造性地解决问题或提供解决思路，具有可预见的应用性与成长性，可以是教育部公布的面向中小学生的全国性竞赛活动名单中学生赛事获奖项目或作品。</w:t>
      </w:r>
    </w:p>
    <w:p w14:paraId="509C3839">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二）项目须真实、健康、合法，无任何不良信息，不得借用他人项目参赛。项目立意应弘扬正能量，践行社会主义核心价值观。参赛项目不得侵犯他人知识产权；所涉及的发明创造、专利技术、资源等必须拥有清晰合法的知识产权或物权，涉及他人知识产权的，报名时须提交完整的具有法律效力的所有人书面授权许可书、专利证书等；抄袭盗用他人成果、提供虚假材料等违反相关法律法规的行为，一经发现即刻丧失参赛相关权利并自负一切法律责任。</w:t>
      </w:r>
    </w:p>
    <w:p w14:paraId="3BB32289">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四、赛程安排</w:t>
      </w:r>
    </w:p>
    <w:p w14:paraId="3B65A4F3">
      <w:pPr>
        <w:spacing w:line="540" w:lineRule="exact"/>
        <w:ind w:firstLine="640" w:firstLineChars="200"/>
        <w:rPr>
          <w:rFonts w:ascii="Times New Roman" w:hAnsi="Times New Roman" w:eastAsia="黑体"/>
          <w:sz w:val="32"/>
          <w:szCs w:val="32"/>
        </w:rPr>
      </w:pPr>
      <w:r>
        <w:rPr>
          <w:rFonts w:hint="eastAsia" w:ascii="Times New Roman" w:hAnsi="Times New Roman" w:eastAsia="仿宋_GB2312"/>
          <w:sz w:val="32"/>
          <w:szCs w:val="32"/>
        </w:rPr>
        <w:t>各地成立有基础教育部门参与的大赛萌芽赛道工作小组，研究、制定工作方案，推进各阶段的赛事组织工作。</w:t>
      </w:r>
    </w:p>
    <w:p w14:paraId="12719CB1">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（一）项目遴选（2025年</w:t>
      </w:r>
      <w:r>
        <w:rPr>
          <w:rFonts w:ascii="Times New Roman" w:hAnsi="Times New Roman" w:eastAsia="楷体_GB2312"/>
          <w:sz w:val="32"/>
          <w:szCs w:val="32"/>
        </w:rPr>
        <w:t>4</w:t>
      </w:r>
      <w:r>
        <w:rPr>
          <w:rFonts w:hint="eastAsia" w:ascii="Times New Roman" w:hAnsi="Times New Roman" w:eastAsia="楷体_GB2312"/>
          <w:sz w:val="32"/>
          <w:szCs w:val="32"/>
        </w:rPr>
        <w:t>—7月）。</w:t>
      </w:r>
      <w:r>
        <w:rPr>
          <w:rFonts w:hint="eastAsia" w:ascii="Times New Roman" w:hAnsi="Times New Roman" w:eastAsia="仿宋_GB2312"/>
          <w:sz w:val="32"/>
          <w:szCs w:val="32"/>
        </w:rPr>
        <w:t>各地要做好本地优秀创新项目的遴选工作，遴选环节和方式等可自行决定。</w:t>
      </w:r>
    </w:p>
    <w:p w14:paraId="7D40816E">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（二）项目推荐（2025年7月）。</w:t>
      </w:r>
      <w:r>
        <w:rPr>
          <w:rFonts w:hint="eastAsia" w:ascii="Times New Roman" w:hAnsi="Times New Roman" w:eastAsia="仿宋_GB2312"/>
          <w:sz w:val="32"/>
          <w:szCs w:val="32"/>
        </w:rPr>
        <w:t>请各地于7月</w:t>
      </w:r>
      <w:r>
        <w:rPr>
          <w:rFonts w:ascii="Times New Roman" w:hAnsi="Times New Roman" w:eastAsia="仿宋_GB2312"/>
          <w:sz w:val="32"/>
          <w:szCs w:val="32"/>
        </w:rPr>
        <w:t>31</w:t>
      </w:r>
      <w:r>
        <w:rPr>
          <w:rFonts w:hint="eastAsia" w:ascii="Times New Roman" w:hAnsi="Times New Roman" w:eastAsia="仿宋_GB2312"/>
          <w:sz w:val="32"/>
          <w:szCs w:val="32"/>
        </w:rPr>
        <w:t>日前，向大赛组委会推荐不超过10个参加全国总决赛萌芽赛道的项目。</w:t>
      </w:r>
      <w:bookmarkStart w:id="2" w:name="_GoBack"/>
      <w:bookmarkEnd w:id="2"/>
    </w:p>
    <w:p w14:paraId="07E67884">
      <w:pPr>
        <w:spacing w:line="540" w:lineRule="exact"/>
        <w:ind w:firstLine="640" w:firstLineChars="200"/>
        <w:rPr>
          <w:rFonts w:ascii="Times New Roman" w:hAnsi="Times New Roman" w:eastAsia="仿宋_GB2312"/>
          <w:sz w:val="32"/>
          <w:szCs w:val="32"/>
        </w:rPr>
      </w:pPr>
      <w:r>
        <w:rPr>
          <w:rFonts w:hint="eastAsia" w:ascii="Times New Roman" w:hAnsi="Times New Roman" w:eastAsia="楷体_GB2312"/>
          <w:sz w:val="32"/>
          <w:szCs w:val="32"/>
        </w:rPr>
        <w:t>（三）网络评审（2025年8月）</w:t>
      </w:r>
      <w:r>
        <w:rPr>
          <w:rFonts w:hint="eastAsia" w:ascii="Times New Roman" w:hAnsi="Times New Roman" w:eastAsia="仿宋_GB2312"/>
          <w:sz w:val="32"/>
          <w:szCs w:val="32"/>
        </w:rPr>
        <w:t>。根据萌芽赛道评审规则评选出200个入围全国总决赛的项目，其中前60个项目参加总决赛现场比赛。</w:t>
      </w:r>
    </w:p>
    <w:p w14:paraId="24358FCC">
      <w:pPr>
        <w:spacing w:line="540" w:lineRule="exact"/>
        <w:ind w:firstLine="640" w:firstLineChars="200"/>
        <w:rPr>
          <w:rFonts w:ascii="Times New Roman" w:hAnsi="Times New Roman" w:eastAsia="黑体"/>
          <w:sz w:val="32"/>
          <w:szCs w:val="32"/>
        </w:rPr>
      </w:pPr>
      <w:r>
        <w:rPr>
          <w:rFonts w:hint="eastAsia" w:ascii="Times New Roman" w:hAnsi="Times New Roman" w:eastAsia="楷体_GB2312"/>
          <w:sz w:val="32"/>
          <w:szCs w:val="32"/>
        </w:rPr>
        <w:t>（四）总决赛（2025年9月）</w:t>
      </w:r>
      <w:r>
        <w:rPr>
          <w:rFonts w:hint="eastAsia" w:ascii="Times New Roman" w:hAnsi="Times New Roman" w:eastAsia="仿宋_GB2312"/>
          <w:sz w:val="32"/>
          <w:szCs w:val="32"/>
        </w:rPr>
        <w:t>。进入总决赛现场比赛的60个项目参加现场展评，通过项目讲解、实物展示和专家问辩，决出奖项。</w:t>
      </w:r>
    </w:p>
    <w:p w14:paraId="204F49A1">
      <w:pPr>
        <w:spacing w:line="54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五、奖项设置</w:t>
      </w:r>
    </w:p>
    <w:p w14:paraId="6471F4F8">
      <w:pPr>
        <w:spacing w:line="54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本赛道设置创新潜力奖20个。入围总决赛但未获创新潜力奖的项目，发放“入围总决赛”证书。</w:t>
      </w:r>
    </w:p>
    <w:sectPr>
      <w:footerReference r:id="rId4" w:type="first"/>
      <w:footerReference r:id="rId3"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199F7D1-DD04-4C1F-884D-C97FB49B496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0010101010101"/>
    <w:charset w:val="86"/>
    <w:family w:val="script"/>
    <w:pitch w:val="default"/>
    <w:sig w:usb0="00000001" w:usb1="080E0000" w:usb2="00000000" w:usb3="00000000" w:csb0="00040000" w:csb1="00000000"/>
    <w:embedRegular r:id="rId2" w:fontKey="{22D4705C-937B-471B-BDE8-A8C74B7EF0A7}"/>
  </w:font>
  <w:font w:name="仿宋_GB2312">
    <w:altName w:val="仿宋"/>
    <w:panose1 w:val="02010609030101010101"/>
    <w:charset w:val="86"/>
    <w:family w:val="modern"/>
    <w:pitch w:val="default"/>
    <w:sig w:usb0="00000000" w:usb1="00000000" w:usb2="00000000" w:usb3="00000000" w:csb0="00040000" w:csb1="00000000"/>
    <w:embedRegular r:id="rId3" w:fontKey="{D7553068-5D34-41B6-BA7E-B531741721E8}"/>
  </w:font>
  <w:font w:name="楷体_GB2312">
    <w:altName w:val="楷体"/>
    <w:panose1 w:val="02010609030101010101"/>
    <w:charset w:val="86"/>
    <w:family w:val="modern"/>
    <w:pitch w:val="default"/>
    <w:sig w:usb0="00000000" w:usb1="00000000" w:usb2="00000000" w:usb3="00000000" w:csb0="00040000" w:csb1="00000000"/>
    <w:embedRegular r:id="rId4" w:fontKey="{D3C926F3-472E-44F4-95F5-E7F5E30F53AC}"/>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95C97D">
    <w:pPr>
      <w:pStyle w:val="4"/>
      <w:jc w:val="center"/>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B6D9A0">
                          <w:pPr>
                            <w:pStyle w:val="4"/>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61B6D9A0">
                    <w:pPr>
                      <w:pStyle w:val="4"/>
                      <w:rPr>
                        <w:rFonts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PAGE  \* MERGEFORMAT </w:instrText>
                    </w:r>
                    <w:r>
                      <w:rPr>
                        <w:rFonts w:hint="eastAsia" w:ascii="宋体" w:hAnsi="宋体" w:eastAsia="宋体" w:cs="宋体"/>
                        <w:sz w:val="24"/>
                        <w:szCs w:val="24"/>
                      </w:rPr>
                      <w:fldChar w:fldCharType="separate"/>
                    </w:r>
                    <w:r>
                      <w:rPr>
                        <w:rFonts w:ascii="宋体" w:hAnsi="宋体" w:eastAsia="宋体" w:cs="宋体"/>
                        <w:sz w:val="24"/>
                        <w:szCs w:val="24"/>
                      </w:rPr>
                      <w:t>31</w:t>
                    </w:r>
                    <w:r>
                      <w:rPr>
                        <w:rFonts w:hint="eastAsia" w:ascii="宋体" w:hAnsi="宋体" w:eastAsia="宋体" w:cs="宋体"/>
                        <w:sz w:val="24"/>
                        <w:szCs w:val="24"/>
                      </w:rPr>
                      <w:fldChar w:fldCharType="end"/>
                    </w:r>
                    <w:r>
                      <w:rPr>
                        <w:rFonts w:hint="eastAsia" w:ascii="宋体" w:hAnsi="宋体" w:eastAsia="宋体" w:cs="宋体"/>
                        <w:sz w:val="24"/>
                        <w:szCs w:val="24"/>
                      </w:rPr>
                      <w:t xml:space="preserve"> —</w:t>
                    </w:r>
                  </w:p>
                </w:txbxContent>
              </v:textbox>
            </v:shape>
          </w:pict>
        </mc:Fallback>
      </mc:AlternateContent>
    </w:r>
  </w:p>
  <w:p w14:paraId="63473327">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5AA96">
    <w:pPr>
      <w:pStyle w:val="4"/>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434B7">
                          <w:pPr>
                            <w:pStyle w:val="4"/>
                            <w:rPr>
                              <w:rFonts w:ascii="宋体" w:hAnsi="宋体" w:eastAsia="宋体" w:cs="宋体"/>
                              <w:sz w:val="24"/>
                              <w:szCs w:val="24"/>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5B9434B7">
                    <w:pPr>
                      <w:pStyle w:val="4"/>
                      <w:rPr>
                        <w:rFonts w:ascii="宋体" w:hAnsi="宋体" w:eastAsia="宋体" w:cs="宋体"/>
                        <w:sz w:val="24"/>
                        <w:szCs w:val="24"/>
                      </w:rPr>
                    </w:pP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6ED6"/>
    <w:rsid w:val="000C0F6C"/>
    <w:rsid w:val="000E5A3E"/>
    <w:rsid w:val="005574FC"/>
    <w:rsid w:val="00594E1E"/>
    <w:rsid w:val="005B05E0"/>
    <w:rsid w:val="00670E92"/>
    <w:rsid w:val="006E5BC3"/>
    <w:rsid w:val="008E52A5"/>
    <w:rsid w:val="00B0137B"/>
    <w:rsid w:val="00E86ED6"/>
    <w:rsid w:val="00EE473F"/>
    <w:rsid w:val="01867C1A"/>
    <w:rsid w:val="01A85D51"/>
    <w:rsid w:val="023D4333"/>
    <w:rsid w:val="033E7B87"/>
    <w:rsid w:val="039C7326"/>
    <w:rsid w:val="03AF426B"/>
    <w:rsid w:val="04226146"/>
    <w:rsid w:val="04443A8F"/>
    <w:rsid w:val="05A82AC6"/>
    <w:rsid w:val="06062E3B"/>
    <w:rsid w:val="06362C5C"/>
    <w:rsid w:val="06F5518B"/>
    <w:rsid w:val="077C57C3"/>
    <w:rsid w:val="07817618"/>
    <w:rsid w:val="07B30533"/>
    <w:rsid w:val="07B73D57"/>
    <w:rsid w:val="08364BEB"/>
    <w:rsid w:val="096A04BC"/>
    <w:rsid w:val="09A939AD"/>
    <w:rsid w:val="09AD2078"/>
    <w:rsid w:val="09CC7E59"/>
    <w:rsid w:val="09EC2210"/>
    <w:rsid w:val="0A594B6C"/>
    <w:rsid w:val="0A730902"/>
    <w:rsid w:val="0A8D3D68"/>
    <w:rsid w:val="0AB84E0E"/>
    <w:rsid w:val="0B0205C1"/>
    <w:rsid w:val="0BD44453"/>
    <w:rsid w:val="0C367F91"/>
    <w:rsid w:val="0C797FE0"/>
    <w:rsid w:val="0CCF0636"/>
    <w:rsid w:val="0D993240"/>
    <w:rsid w:val="0DB74219"/>
    <w:rsid w:val="0E4A241F"/>
    <w:rsid w:val="0EBE0AFF"/>
    <w:rsid w:val="0EE734D6"/>
    <w:rsid w:val="0F0B1ECC"/>
    <w:rsid w:val="0F4946D1"/>
    <w:rsid w:val="0F57296C"/>
    <w:rsid w:val="0F680F79"/>
    <w:rsid w:val="0F827F00"/>
    <w:rsid w:val="0FA15118"/>
    <w:rsid w:val="0FDA4BAB"/>
    <w:rsid w:val="0FF17542"/>
    <w:rsid w:val="102A214B"/>
    <w:rsid w:val="10637942"/>
    <w:rsid w:val="108D7E56"/>
    <w:rsid w:val="111E4EFD"/>
    <w:rsid w:val="12137EBF"/>
    <w:rsid w:val="12911213"/>
    <w:rsid w:val="12A9108C"/>
    <w:rsid w:val="12C0114D"/>
    <w:rsid w:val="132773D8"/>
    <w:rsid w:val="135D6E2A"/>
    <w:rsid w:val="13FE7D6E"/>
    <w:rsid w:val="145913B3"/>
    <w:rsid w:val="14F45E69"/>
    <w:rsid w:val="152E6721"/>
    <w:rsid w:val="154C41C9"/>
    <w:rsid w:val="156E6427"/>
    <w:rsid w:val="15A67CDC"/>
    <w:rsid w:val="17112349"/>
    <w:rsid w:val="175C542D"/>
    <w:rsid w:val="175C5E1C"/>
    <w:rsid w:val="177E5325"/>
    <w:rsid w:val="17A609E9"/>
    <w:rsid w:val="17D04F0B"/>
    <w:rsid w:val="17E0590A"/>
    <w:rsid w:val="187018A8"/>
    <w:rsid w:val="18740E2C"/>
    <w:rsid w:val="19710317"/>
    <w:rsid w:val="1A1C1ED0"/>
    <w:rsid w:val="1A8F0322"/>
    <w:rsid w:val="1B293607"/>
    <w:rsid w:val="1B6B4228"/>
    <w:rsid w:val="1BD54BC2"/>
    <w:rsid w:val="1BEB4480"/>
    <w:rsid w:val="1C576A9C"/>
    <w:rsid w:val="1CAE0268"/>
    <w:rsid w:val="1D0D31E0"/>
    <w:rsid w:val="1D687642"/>
    <w:rsid w:val="1E1076F6"/>
    <w:rsid w:val="1E6E5265"/>
    <w:rsid w:val="1ED86F5C"/>
    <w:rsid w:val="1F021C01"/>
    <w:rsid w:val="1F1448E8"/>
    <w:rsid w:val="1F162F0F"/>
    <w:rsid w:val="1F1D2D51"/>
    <w:rsid w:val="1FE15F96"/>
    <w:rsid w:val="207A53E2"/>
    <w:rsid w:val="22BC3AE7"/>
    <w:rsid w:val="235337E9"/>
    <w:rsid w:val="2363379A"/>
    <w:rsid w:val="243F74B6"/>
    <w:rsid w:val="24C72960"/>
    <w:rsid w:val="24EC4C21"/>
    <w:rsid w:val="25EA4677"/>
    <w:rsid w:val="27807F4C"/>
    <w:rsid w:val="27EE6E31"/>
    <w:rsid w:val="283E7824"/>
    <w:rsid w:val="28C80903"/>
    <w:rsid w:val="28E618BB"/>
    <w:rsid w:val="29153EDA"/>
    <w:rsid w:val="292E4C0A"/>
    <w:rsid w:val="294A1318"/>
    <w:rsid w:val="29E50590"/>
    <w:rsid w:val="2A6B2C17"/>
    <w:rsid w:val="2B754BC3"/>
    <w:rsid w:val="2D0728D4"/>
    <w:rsid w:val="2D141108"/>
    <w:rsid w:val="2D754838"/>
    <w:rsid w:val="2D8415A3"/>
    <w:rsid w:val="2E9B6172"/>
    <w:rsid w:val="2EC66EA3"/>
    <w:rsid w:val="2EF82401"/>
    <w:rsid w:val="2F1B43F2"/>
    <w:rsid w:val="2F2D7470"/>
    <w:rsid w:val="2F514C0F"/>
    <w:rsid w:val="30B47004"/>
    <w:rsid w:val="30E26087"/>
    <w:rsid w:val="30F459C5"/>
    <w:rsid w:val="32E63BD5"/>
    <w:rsid w:val="338334F0"/>
    <w:rsid w:val="33BB0991"/>
    <w:rsid w:val="3442455A"/>
    <w:rsid w:val="34554030"/>
    <w:rsid w:val="34A8694F"/>
    <w:rsid w:val="34B32468"/>
    <w:rsid w:val="34FE0741"/>
    <w:rsid w:val="35070447"/>
    <w:rsid w:val="352C7621"/>
    <w:rsid w:val="36EF6E55"/>
    <w:rsid w:val="38163439"/>
    <w:rsid w:val="389D0C7A"/>
    <w:rsid w:val="38F848ED"/>
    <w:rsid w:val="39866237"/>
    <w:rsid w:val="39AE76A2"/>
    <w:rsid w:val="3A0B6832"/>
    <w:rsid w:val="3A200218"/>
    <w:rsid w:val="3B2476B7"/>
    <w:rsid w:val="3B2B3384"/>
    <w:rsid w:val="3C4936B2"/>
    <w:rsid w:val="3CD82863"/>
    <w:rsid w:val="3D557D32"/>
    <w:rsid w:val="3D950FC0"/>
    <w:rsid w:val="3E0D6AAE"/>
    <w:rsid w:val="40796571"/>
    <w:rsid w:val="412344D1"/>
    <w:rsid w:val="417E3A1C"/>
    <w:rsid w:val="42AF4F06"/>
    <w:rsid w:val="42DB5999"/>
    <w:rsid w:val="430E5635"/>
    <w:rsid w:val="44136A7F"/>
    <w:rsid w:val="44FC31C0"/>
    <w:rsid w:val="45085482"/>
    <w:rsid w:val="450F0653"/>
    <w:rsid w:val="45995E72"/>
    <w:rsid w:val="45B55C3E"/>
    <w:rsid w:val="46036549"/>
    <w:rsid w:val="46B05036"/>
    <w:rsid w:val="46BE410D"/>
    <w:rsid w:val="473E2065"/>
    <w:rsid w:val="475573AE"/>
    <w:rsid w:val="479F02A0"/>
    <w:rsid w:val="480330B5"/>
    <w:rsid w:val="484726E7"/>
    <w:rsid w:val="48A67279"/>
    <w:rsid w:val="48AB197C"/>
    <w:rsid w:val="49F73655"/>
    <w:rsid w:val="4A381043"/>
    <w:rsid w:val="4A4D789D"/>
    <w:rsid w:val="4B951AF7"/>
    <w:rsid w:val="4CB3169A"/>
    <w:rsid w:val="4CDF1BF4"/>
    <w:rsid w:val="4E293989"/>
    <w:rsid w:val="4ED90B67"/>
    <w:rsid w:val="4F1A1B6C"/>
    <w:rsid w:val="4F8627FB"/>
    <w:rsid w:val="4F890832"/>
    <w:rsid w:val="4FF82FCD"/>
    <w:rsid w:val="520D4383"/>
    <w:rsid w:val="522C63AF"/>
    <w:rsid w:val="52495C01"/>
    <w:rsid w:val="52BB1DD9"/>
    <w:rsid w:val="530A434B"/>
    <w:rsid w:val="53394028"/>
    <w:rsid w:val="548E541A"/>
    <w:rsid w:val="55786957"/>
    <w:rsid w:val="56271BFF"/>
    <w:rsid w:val="56472758"/>
    <w:rsid w:val="56643CB4"/>
    <w:rsid w:val="58D82C56"/>
    <w:rsid w:val="599A67BE"/>
    <w:rsid w:val="5A5B578B"/>
    <w:rsid w:val="5B597015"/>
    <w:rsid w:val="5B6A0175"/>
    <w:rsid w:val="5BBD40FE"/>
    <w:rsid w:val="5C1E0115"/>
    <w:rsid w:val="5D9B7C9B"/>
    <w:rsid w:val="5DC6220A"/>
    <w:rsid w:val="5DF00658"/>
    <w:rsid w:val="5E9E648B"/>
    <w:rsid w:val="5EB17168"/>
    <w:rsid w:val="5EC17F86"/>
    <w:rsid w:val="5EC200EC"/>
    <w:rsid w:val="5FFE21EA"/>
    <w:rsid w:val="60E4391B"/>
    <w:rsid w:val="60FD009B"/>
    <w:rsid w:val="611739B5"/>
    <w:rsid w:val="615F2BCF"/>
    <w:rsid w:val="618935C6"/>
    <w:rsid w:val="627C2D05"/>
    <w:rsid w:val="62BA55E4"/>
    <w:rsid w:val="63A34D94"/>
    <w:rsid w:val="63DD33B9"/>
    <w:rsid w:val="63DF4B81"/>
    <w:rsid w:val="64176609"/>
    <w:rsid w:val="64364ED5"/>
    <w:rsid w:val="64A159A1"/>
    <w:rsid w:val="65547C7A"/>
    <w:rsid w:val="656F6929"/>
    <w:rsid w:val="6570600E"/>
    <w:rsid w:val="65B86063"/>
    <w:rsid w:val="65E70F67"/>
    <w:rsid w:val="661C78C8"/>
    <w:rsid w:val="662B0176"/>
    <w:rsid w:val="66F1769D"/>
    <w:rsid w:val="677117DE"/>
    <w:rsid w:val="67B755E8"/>
    <w:rsid w:val="682205DD"/>
    <w:rsid w:val="682F7A70"/>
    <w:rsid w:val="685C6530"/>
    <w:rsid w:val="68953F31"/>
    <w:rsid w:val="68D15B28"/>
    <w:rsid w:val="6A0955AD"/>
    <w:rsid w:val="6A10026E"/>
    <w:rsid w:val="6AC1181E"/>
    <w:rsid w:val="6ADE7537"/>
    <w:rsid w:val="6B4B0F6B"/>
    <w:rsid w:val="6C826FB5"/>
    <w:rsid w:val="6D8A0DA2"/>
    <w:rsid w:val="6DF84D21"/>
    <w:rsid w:val="6E1F7C4B"/>
    <w:rsid w:val="6EC10F06"/>
    <w:rsid w:val="6F922733"/>
    <w:rsid w:val="70B710C4"/>
    <w:rsid w:val="72816C02"/>
    <w:rsid w:val="72C572D1"/>
    <w:rsid w:val="72F07E08"/>
    <w:rsid w:val="7405360D"/>
    <w:rsid w:val="7533222E"/>
    <w:rsid w:val="75371A2F"/>
    <w:rsid w:val="75AA2792"/>
    <w:rsid w:val="76061579"/>
    <w:rsid w:val="7647776C"/>
    <w:rsid w:val="765C68D8"/>
    <w:rsid w:val="767E7B13"/>
    <w:rsid w:val="773553C0"/>
    <w:rsid w:val="7811276D"/>
    <w:rsid w:val="781A4659"/>
    <w:rsid w:val="78BE186A"/>
    <w:rsid w:val="79017382"/>
    <w:rsid w:val="7B24702F"/>
    <w:rsid w:val="7BA57D92"/>
    <w:rsid w:val="7C1A1F77"/>
    <w:rsid w:val="7CD507FE"/>
    <w:rsid w:val="7D0A2F96"/>
    <w:rsid w:val="7D163400"/>
    <w:rsid w:val="7D3F61BF"/>
    <w:rsid w:val="7D494CE4"/>
    <w:rsid w:val="7D6F446F"/>
    <w:rsid w:val="7D8B6A40"/>
    <w:rsid w:val="7E25257A"/>
    <w:rsid w:val="7F050083"/>
    <w:rsid w:val="7F264BB1"/>
    <w:rsid w:val="7F6313D7"/>
    <w:rsid w:val="7F682A51"/>
    <w:rsid w:val="7FEC1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99"/>
    <w:pPr>
      <w:jc w:val="left"/>
    </w:pPr>
    <w:rPr>
      <w:rFonts w:ascii="Times New Roman" w:hAnsi="Times New Roman" w:eastAsia="宋体" w:cs="Times New Roman"/>
    </w:rPr>
  </w:style>
  <w:style w:type="paragraph" w:styleId="3">
    <w:name w:val="Balloon Text"/>
    <w:basedOn w:val="1"/>
    <w:link w:val="8"/>
    <w:qFormat/>
    <w:uiPriority w:val="0"/>
    <w:rPr>
      <w:sz w:val="18"/>
      <w:szCs w:val="18"/>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Normal (Web)"/>
    <w:basedOn w:val="1"/>
    <w:qFormat/>
    <w:uiPriority w:val="0"/>
    <w:rPr>
      <w:rFonts w:ascii="Times New Roman" w:hAnsi="Times New Roman" w:eastAsia="宋体" w:cs="Times New Roman"/>
      <w:sz w:val="24"/>
      <w:szCs w:val="24"/>
    </w:rPr>
  </w:style>
  <w:style w:type="character" w:customStyle="1" w:styleId="8">
    <w:name w:val="批注框文本 Char"/>
    <w:basedOn w:val="7"/>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8932</Words>
  <Characters>9350</Characters>
  <Lines>106</Lines>
  <Paragraphs>29</Paragraphs>
  <TotalTime>23</TotalTime>
  <ScaleCrop>false</ScaleCrop>
  <LinksUpToDate>false</LinksUpToDate>
  <CharactersWithSpaces>9419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2024-12-25T08:17:00Z</dcterms:created>
  <dc:creator>jwchj</dc:creator>
  <cp:lastModifiedBy>•﹏•桃子~☆</cp:lastModifiedBy>
  <cp:lastPrinted>2025-04-08T00:18:00Z</cp:lastPrinted>
  <dcterms:modified xsi:type="dcterms:W3CDTF">2025-05-07T07:30:12Z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eyJoZGlkIjoiOTI0NWM2ZWVkNzkwYzlhYjMzZTFkY2Q4ZWU0MDZjYjIiLCJ1c2VySWQiOiI2NjUzODQ5NzYifQ==</vt:lpwstr>
  </property>
  <property fmtid="{D5CDD505-2E9C-101B-9397-08002B2CF9AE}" pid="4" name="ICV">
    <vt:lpwstr>A166708011A146C485A6ED2F17E27340_13</vt:lpwstr>
  </property>
</Properties>
</file>